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C2" w:rsidRPr="00AA2F4B" w:rsidRDefault="00AA2F4B" w:rsidP="00AA2F4B">
      <w:r w:rsidRPr="008E0AF2">
        <w:rPr>
          <w:rFonts w:ascii="Calibri" w:hAnsi="Calibri"/>
          <w:color w:val="000000"/>
        </w:rPr>
        <w:t>IHS Herold is an investment adviser registered with the State of Connecticut. A copy of IHS Herold’s Form ADV Uniform Application for Investment Adviser Registration, is available upon request.</w:t>
      </w:r>
      <w:bookmarkStart w:id="0" w:name="_GoBack"/>
      <w:bookmarkEnd w:id="0"/>
    </w:p>
    <w:sectPr w:rsidR="00711DC2" w:rsidRPr="00AA2F4B" w:rsidSect="006548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E0"/>
    <w:rsid w:val="00654850"/>
    <w:rsid w:val="00711DC2"/>
    <w:rsid w:val="00A75416"/>
    <w:rsid w:val="00AA2F4B"/>
    <w:rsid w:val="00E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85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85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137A01CB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Markit Group Ltd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Aarts</dc:creator>
  <cp:lastModifiedBy>Tommy Aarts</cp:lastModifiedBy>
  <cp:revision>2</cp:revision>
  <dcterms:created xsi:type="dcterms:W3CDTF">2017-12-07T11:56:00Z</dcterms:created>
  <dcterms:modified xsi:type="dcterms:W3CDTF">2017-12-07T11:56:00Z</dcterms:modified>
</cp:coreProperties>
</file>