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2D97D6B7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2029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1FB2659F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985ED3">
        <w:t>Reuse, Parallelization and Memory Management for Multi-backend ML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proofErr w:type="spellStart"/>
      <w:r>
        <w:t>M</w:t>
      </w:r>
      <w:r w:rsidR="00FF70D1">
        <w:t>.Tech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7A51FC17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2024. </w:t>
      </w:r>
      <w:r w:rsidRPr="00517C38">
        <w:t>MUMBAI: Lineage-based Reuse a</w:t>
      </w:r>
      <w:r>
        <w:t>nd Related Memory Management for Multi-backend ML Systems. Under submission.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proofErr w:type="spellStart"/>
      <w:r>
        <w:t>Tekur</w:t>
      </w:r>
      <w:proofErr w:type="spellEnd"/>
      <w:r>
        <w:t>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 source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 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769787E6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 for Systems and Systems for ML, BTW 2023.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39D242E0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 xml:space="preserve">Experiments: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proofErr w:type="spellStart"/>
      <w:r w:rsidR="00DE4231">
        <w:t>FTBench</w:t>
      </w:r>
      <w:proofErr w:type="spellEnd"/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77B5777D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B95AFF">
        <w:rPr>
          <w:spacing w:val="-2"/>
        </w:rPr>
        <w:t>0</w:t>
      </w:r>
      <w:r w:rsidR="00DE4231">
        <w:rPr>
          <w:spacing w:val="-2"/>
        </w:rPr>
        <w:t>5</w:t>
      </w:r>
      <w:r>
        <w:rPr>
          <w:spacing w:val="-2"/>
        </w:rPr>
        <w:t>.0</w:t>
      </w:r>
      <w:r w:rsidR="00DE4231">
        <w:rPr>
          <w:spacing w:val="-2"/>
        </w:rPr>
        <w:t>1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1C1090"/>
    <w:rsid w:val="00266C5A"/>
    <w:rsid w:val="0026773E"/>
    <w:rsid w:val="002A196B"/>
    <w:rsid w:val="003171FE"/>
    <w:rsid w:val="003F200A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A357A0"/>
    <w:rsid w:val="00A943AD"/>
    <w:rsid w:val="00B95AFF"/>
    <w:rsid w:val="00CA6F07"/>
    <w:rsid w:val="00D76423"/>
    <w:rsid w:val="00DA1611"/>
    <w:rsid w:val="00DA48BE"/>
    <w:rsid w:val="00DE4231"/>
    <w:rsid w:val="00E6292C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3045</Characters>
  <Application>Microsoft Office Word</Application>
  <DocSecurity>0</DocSecurity>
  <Lines>74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14</cp:revision>
  <cp:lastPrinted>2022-06-17T16:49:00Z</cp:lastPrinted>
  <dcterms:created xsi:type="dcterms:W3CDTF">2022-06-17T16:17:00Z</dcterms:created>
  <dcterms:modified xsi:type="dcterms:W3CDTF">2024-01-05T18:01:00Z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