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QUYẾT ĐỊNH VỀ HOA HỒNG CÔNG TY ĐỐI TÁC</w:t>
      </w:r>
    </w:p>
    <w:p>
      <w:r>
        <w:t xml:space="preserve">Điều 2. Kể từ ngày 01/10/2026, mức hoa hồng áp dụng cho công ty đối tác tầng hai là 1,5% và tầng ba là 1,8% giá trị giao dịch đã xác nhận.</w:t>
      </w:r>
    </w:p>
    <w:p>
      <w:r>
        <w:t xml:space="preserve">Đối tượng áp dụng: các công ty đối tác đã ký hợp đồng khung.</w:t>
      </w:r>
    </w:p>
    <w:tbl>
      <w:tr>
        <w:tc>
          <w:p>
            <w:r>
              <w:t>Tầng</w:t>
            </w:r>
          </w:p>
        </w:tc>
        <w:tc>
          <w:p>
            <w:r>
              <w:t>Mức hoa hồng</w:t>
            </w:r>
          </w:p>
        </w:tc>
      </w:tr>
      <w:tr>
        <w:tc>
          <w:p>
            <w:r>
              <w:t>Tầng hai</w:t>
            </w:r>
          </w:p>
        </w:tc>
        <w:tc>
          <w:p>
            <w:r>
              <w:t>1,5%</w:t>
            </w:r>
          </w:p>
        </w:tc>
      </w:tr>
      <w:tr>
        <w:tc>
          <w:p>
            <w:r>
              <w:t>Tầng ba</w:t>
            </w:r>
          </w:p>
        </w:tc>
        <w:tc>
          <w:p>
            <w:r>
              <w:t>1,8%</w:t>
            </w:r>
          </w:p>
        </w:tc>
      </w:tr>
    </w:tbl>
  </w:body>
</w:document>
</file>