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personal-devsecops-tutorial-handbook"/>
    <w:p>
      <w:pPr>
        <w:pStyle w:val="Heading1"/>
      </w:pPr>
      <w:r>
        <w:t xml:space="preserve">Personal DevSecOps Tutorial Handbook</w:t>
      </w:r>
    </w:p>
    <w:p>
      <w:pPr>
        <w:pStyle w:val="FirstParagraph"/>
      </w:pPr>
      <w:r>
        <w:t xml:space="preserve">This repository is the concrete tutorial companion for the source-of-truth roadmap:</w:t>
      </w:r>
    </w:p>
    <w:p>
      <w:pPr>
        <w:pStyle w:val="BodyText"/>
      </w:pPr>
      <w:r>
        <w:rPr>
          <w:rStyle w:val="VerbatimChar"/>
        </w:rPr>
        <w:t xml:space="preserve">E:\Roadmaps\phanmanhcuongdev\12-month-devsecops-roadmap.md</w:t>
      </w:r>
    </w:p>
    <w:p>
      <w:pPr>
        <w:pStyle w:val="BodyText"/>
      </w:pPr>
      <w:r>
        <w:t xml:space="preserve">The parent roadmap is the moment of truth. It defines the strategy, order, scope, gates, school-heavy constraints, and final standard. This repository only turns that strategy into executable labs, checklists, templates, evidence rules, and portfolio artifacts.</w:t>
      </w:r>
    </w:p>
    <w:bookmarkStart w:id="9" w:name="operating-rule"/>
    <w:p>
      <w:pPr>
        <w:pStyle w:val="Heading2"/>
      </w:pPr>
      <w:r>
        <w:t xml:space="preserve">Operating Rule</w:t>
      </w:r>
    </w:p>
    <w:p>
      <w:pPr>
        <w:pStyle w:val="FirstParagraph"/>
      </w:pPr>
      <w:r>
        <w:t xml:space="preserve">Everything as Code, from Backend Logic to Operated Infrastructure.</w:t>
      </w:r>
    </w:p>
    <w:p>
      <w:pPr>
        <w:pStyle w:val="BodyText"/>
      </w:pPr>
      <w:r>
        <w:t xml:space="preserve">No new tool collecting. Break -&gt; Measure -&gt; Fix -&gt; Document.</w:t>
      </w:r>
    </w:p>
    <w:p>
      <w:pPr>
        <w:pStyle w:val="BodyText"/>
      </w:pPr>
      <w:r>
        <w:t xml:space="preserve">A task is not complete because a service starts. It is complete only when the evidence explains what happened with standard engineering terms.</w:t>
      </w:r>
    </w:p>
    <w:bookmarkEnd w:id="9"/>
    <w:bookmarkStart w:id="10" w:name="repository-layout"/>
    <w:p>
      <w:pPr>
        <w:pStyle w:val="Heading2"/>
      </w:pPr>
      <w: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|-- core-roadmap/</w:t>
      </w:r>
      <w:r>
        <w:br/>
      </w:r>
      <w:r>
        <w:rPr>
          <w:rStyle w:val="VerbatimChar"/>
        </w:rPr>
        <w:t xml:space="preserve">|   `-- master-plan.md</w:t>
      </w:r>
      <w:r>
        <w:br/>
      </w:r>
      <w:r>
        <w:rPr>
          <w:rStyle w:val="VerbatimChar"/>
        </w:rPr>
        <w:t xml:space="preserve">|-- phases/</w:t>
      </w:r>
      <w:r>
        <w:br/>
      </w:r>
      <w:r>
        <w:rPr>
          <w:rStyle w:val="VerbatimChar"/>
        </w:rPr>
        <w:t xml:space="preserve">|   |-- 01-infra-network/</w:t>
      </w:r>
      <w:r>
        <w:br/>
      </w:r>
      <w:r>
        <w:rPr>
          <w:rStyle w:val="VerbatimChar"/>
        </w:rPr>
        <w:t xml:space="preserve">|   |   `-- master-plan.md</w:t>
      </w:r>
      <w:r>
        <w:br/>
      </w:r>
      <w:r>
        <w:rPr>
          <w:rStyle w:val="VerbatimChar"/>
        </w:rPr>
        <w:t xml:space="preserve">|   |-- 02-k8s-orchestration/</w:t>
      </w:r>
      <w:r>
        <w:br/>
      </w:r>
      <w:r>
        <w:rPr>
          <w:rStyle w:val="VerbatimChar"/>
        </w:rPr>
        <w:t xml:space="preserve">|   |   `-- master-plan.md</w:t>
      </w:r>
      <w:r>
        <w:br/>
      </w:r>
      <w:r>
        <w:rPr>
          <w:rStyle w:val="VerbatimChar"/>
        </w:rPr>
        <w:t xml:space="preserve">|   |-- 03-db-security-defense/</w:t>
      </w:r>
      <w:r>
        <w:br/>
      </w:r>
      <w:r>
        <w:rPr>
          <w:rStyle w:val="VerbatimChar"/>
        </w:rPr>
        <w:t xml:space="preserve">|   |   `-- master-plan.md</w:t>
      </w:r>
      <w:r>
        <w:br/>
      </w:r>
      <w:r>
        <w:rPr>
          <w:rStyle w:val="VerbatimChar"/>
        </w:rPr>
        <w:t xml:space="preserve">|   `-- 04-production-portfolio/</w:t>
      </w:r>
      <w:r>
        <w:br/>
      </w:r>
      <w:r>
        <w:rPr>
          <w:rStyle w:val="VerbatimChar"/>
        </w:rPr>
        <w:t xml:space="preserve">|       `-- master-plan.md</w:t>
      </w:r>
      <w:r>
        <w:br/>
      </w:r>
      <w:r>
        <w:rPr>
          <w:rStyle w:val="VerbatimChar"/>
        </w:rPr>
        <w:t xml:space="preserve">`-- resources/</w:t>
      </w:r>
      <w:r>
        <w:br/>
      </w:r>
      <w:r>
        <w:rPr>
          <w:rStyle w:val="VerbatimChar"/>
        </w:rPr>
        <w:t xml:space="preserve">    |-- links.md</w:t>
      </w:r>
      <w:r>
        <w:br/>
      </w:r>
      <w:r>
        <w:rPr>
          <w:rStyle w:val="VerbatimChar"/>
        </w:rPr>
        <w:t xml:space="preserve">    `-- templates.md</w:t>
      </w:r>
    </w:p>
    <w:bookmarkEnd w:id="10"/>
    <w:bookmarkStart w:id="11" w:name="how-to-use-this-repo"/>
    <w:p>
      <w:pPr>
        <w:pStyle w:val="Heading2"/>
      </w:pPr>
      <w:r>
        <w:t xml:space="preserve">How To Use This Repo</w:t>
      </w:r>
    </w:p>
    <w:p>
      <w:pPr>
        <w:pStyle w:val="Compact"/>
        <w:numPr>
          <w:ilvl w:val="0"/>
          <w:numId w:val="1001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E:\Roadmaps\phanmanhcuongdev\12-month-devsecops-roadmap.md</w:t>
      </w:r>
      <w:r>
        <w:t xml:space="preserve"> </w:t>
      </w:r>
      <w:r>
        <w:t xml:space="preserve">first.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core-roadmap/master-plan.md</w:t>
      </w:r>
      <w:r>
        <w:t xml:space="preserve"> </w:t>
      </w:r>
      <w:r>
        <w:t xml:space="preserve">as the execution handbook.</w:t>
      </w:r>
    </w:p>
    <w:p>
      <w:pPr>
        <w:pStyle w:val="Compact"/>
        <w:numPr>
          <w:ilvl w:val="0"/>
          <w:numId w:val="1001"/>
        </w:numPr>
      </w:pPr>
      <w:r>
        <w:t xml:space="preserve">Work through phases in order unless school-heavy mode forces scope reduction.</w:t>
      </w:r>
    </w:p>
    <w:p>
      <w:pPr>
        <w:pStyle w:val="Compact"/>
        <w:numPr>
          <w:ilvl w:val="0"/>
          <w:numId w:val="1001"/>
        </w:numPr>
      </w:pPr>
      <w:r>
        <w:t xml:space="preserve">For every lab, write the hypothesis, expected behavior, measurement plan, and rollback path before touching the system.</w:t>
      </w:r>
    </w:p>
    <w:p>
      <w:pPr>
        <w:pStyle w:val="Compact"/>
        <w:numPr>
          <w:ilvl w:val="0"/>
          <w:numId w:val="1001"/>
        </w:numPr>
      </w:pPr>
      <w:r>
        <w:t xml:space="preserve">Capture commands, logs, packet traces, metrics, screenshots, diagrams, and config excerpts as evidence.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resources/templates.md</w:t>
      </w:r>
      <w:r>
        <w:t xml:space="preserve"> </w:t>
      </w:r>
      <w:r>
        <w:t xml:space="preserve">for theory notes, lab reports, postmortems, ADRs, risk registers, evidence indexes, cloud mapping, and portfolio case studies.</w:t>
      </w:r>
    </w:p>
    <w:p>
      <w:pPr>
        <w:pStyle w:val="Compact"/>
        <w:numPr>
          <w:ilvl w:val="0"/>
          <w:numId w:val="1001"/>
        </w:numPr>
      </w:pPr>
      <w:r>
        <w:t xml:space="preserve">End each week by answering the Sunday Review Gate from the source roadmap.</w:t>
      </w:r>
    </w:p>
    <w:bookmarkEnd w:id="11"/>
    <w:bookmarkStart w:id="12" w:name="what-this-repo-is-not"/>
    <w:p>
      <w:pPr>
        <w:pStyle w:val="Heading2"/>
      </w:pPr>
      <w:r>
        <w:t xml:space="preserve">What This Repo Is Not</w:t>
      </w:r>
    </w:p>
    <w:p>
      <w:pPr>
        <w:pStyle w:val="Compact"/>
        <w:numPr>
          <w:ilvl w:val="0"/>
          <w:numId w:val="1002"/>
        </w:numPr>
      </w:pPr>
      <w:r>
        <w:t xml:space="preserve">It is not a second roadmap.</w:t>
      </w:r>
    </w:p>
    <w:p>
      <w:pPr>
        <w:pStyle w:val="Compact"/>
        <w:numPr>
          <w:ilvl w:val="0"/>
          <w:numId w:val="1002"/>
        </w:numPr>
      </w:pPr>
      <w:r>
        <w:t xml:space="preserve">It is not a DevSecOps tool shopping list.</w:t>
      </w:r>
    </w:p>
    <w:p>
      <w:pPr>
        <w:pStyle w:val="Compact"/>
        <w:numPr>
          <w:ilvl w:val="0"/>
          <w:numId w:val="1002"/>
        </w:numPr>
      </w:pPr>
      <w:r>
        <w:t xml:space="preserve">It is not a replacement for CCNA, CKA, school, or the parent roadmap.</w:t>
      </w:r>
    </w:p>
    <w:p>
      <w:pPr>
        <w:pStyle w:val="Compact"/>
        <w:numPr>
          <w:ilvl w:val="0"/>
          <w:numId w:val="1002"/>
        </w:numPr>
      </w:pPr>
      <w:r>
        <w:t xml:space="preserve">It is not a promise to deploy every interesting security, CI/CD, SIEM, service mesh, or cloud tool.</w:t>
      </w:r>
    </w:p>
    <w:bookmarkEnd w:id="12"/>
    <w:bookmarkStart w:id="13" w:name="core-lab-stack"/>
    <w:p>
      <w:pPr>
        <w:pStyle w:val="Heading2"/>
      </w:pPr>
      <w:r>
        <w:t xml:space="preserve">Core Lab Stack</w:t>
      </w:r>
    </w:p>
    <w:p>
      <w:pPr>
        <w:pStyle w:val="FirstParagraph"/>
      </w:pPr>
      <w:r>
        <w:t xml:space="preserve">Use the existing lab first:</w:t>
      </w:r>
    </w:p>
    <w:p>
      <w:pPr>
        <w:pStyle w:val="Compact"/>
        <w:numPr>
          <w:ilvl w:val="0"/>
          <w:numId w:val="1003"/>
        </w:numPr>
      </w:pPr>
      <w:r>
        <w:t xml:space="preserve">Proxmox, LXC, Ubuntu Server VMs</w:t>
      </w:r>
    </w:p>
    <w:p>
      <w:pPr>
        <w:pStyle w:val="Compact"/>
        <w:numPr>
          <w:ilvl w:val="0"/>
          <w:numId w:val="1003"/>
        </w:numPr>
      </w:pPr>
      <w:r>
        <w:t xml:space="preserve">VyOS and existing MikroTik/Cisco/router/switch equipment</w:t>
      </w:r>
    </w:p>
    <w:p>
      <w:pPr>
        <w:pStyle w:val="Compact"/>
        <w:numPr>
          <w:ilvl w:val="0"/>
          <w:numId w:val="1003"/>
        </w:numPr>
      </w:pPr>
      <w:r>
        <w:t xml:space="preserve">Headscale and Tailscale</w:t>
      </w:r>
    </w:p>
    <w:p>
      <w:pPr>
        <w:pStyle w:val="Compact"/>
        <w:numPr>
          <w:ilvl w:val="0"/>
          <w:numId w:val="1003"/>
        </w:numPr>
      </w:pPr>
      <w:r>
        <w:t xml:space="preserve">Docker and Portainer</w:t>
      </w:r>
    </w:p>
    <w:p>
      <w:pPr>
        <w:pStyle w:val="Compact"/>
        <w:numPr>
          <w:ilvl w:val="0"/>
          <w:numId w:val="1003"/>
        </w:numPr>
      </w:pPr>
      <w:r>
        <w:t xml:space="preserve">Spring Boot app and FastAPI worker</w:t>
      </w:r>
    </w:p>
    <w:p>
      <w:pPr>
        <w:pStyle w:val="Compact"/>
        <w:numPr>
          <w:ilvl w:val="0"/>
          <w:numId w:val="1003"/>
        </w:numPr>
      </w:pPr>
      <w:r>
        <w:t xml:space="preserve">RabbitMQ, MinIO</w:t>
      </w:r>
    </w:p>
    <w:p>
      <w:pPr>
        <w:pStyle w:val="Compact"/>
        <w:numPr>
          <w:ilvl w:val="0"/>
          <w:numId w:val="1003"/>
        </w:numPr>
      </w:pPr>
      <w:r>
        <w:t xml:space="preserve">SQL Server and PostgreSQL</w:t>
      </w:r>
    </w:p>
    <w:p>
      <w:pPr>
        <w:pStyle w:val="Compact"/>
        <w:numPr>
          <w:ilvl w:val="0"/>
          <w:numId w:val="1003"/>
        </w:numPr>
      </w:pPr>
      <w:r>
        <w:t xml:space="preserve">Grafana and InfluxDB</w:t>
      </w:r>
    </w:p>
    <w:p>
      <w:pPr>
        <w:pStyle w:val="Compact"/>
        <w:numPr>
          <w:ilvl w:val="0"/>
          <w:numId w:val="1003"/>
        </w:numPr>
      </w:pPr>
      <w:r>
        <w:t xml:space="preserve">Ollama where already deployed</w:t>
      </w:r>
    </w:p>
    <w:p>
      <w:pPr>
        <w:pStyle w:val="Compact"/>
        <w:numPr>
          <w:ilvl w:val="0"/>
          <w:numId w:val="1003"/>
        </w:numPr>
      </w:pPr>
      <w:r>
        <w:t xml:space="preserve">Existing Android/ESP32 projects only when they support the main roadmap or school work</w:t>
      </w:r>
    </w:p>
    <w:p>
      <w:pPr>
        <w:pStyle w:val="FirstParagraph"/>
      </w:pPr>
      <w:r>
        <w:t xml:space="preserve">Kubernetes appears only in Phase 2 because the CKA phase requires it. Cloud/AWS appears only as mapping after local fundamentals are defensible. Extra CI/CD, SIEM, policy, registry, or security tools are optional later work and require the source roadmap gate or an ADR.</w:t>
      </w:r>
    </w:p>
    <w:bookmarkEnd w:id="13"/>
    <w:bookmarkStart w:id="14" w:name="measurement-layer"/>
    <w:p>
      <w:pPr>
        <w:pStyle w:val="Heading2"/>
      </w:pPr>
      <w:r>
        <w:t xml:space="preserve">Measurement Layer</w:t>
      </w:r>
    </w:p>
    <w:p>
      <w:pPr>
        <w:pStyle w:val="FirstParagraph"/>
      </w:pPr>
      <w:r>
        <w:t xml:space="preserve">Monitoring, logging, metrics, traces, packet captures, and database/application logs are a measurement layer across all phases. They are not a standalone dashboard-collection phase.</w:t>
      </w:r>
    </w:p>
    <w:p>
      <w:pPr>
        <w:pStyle w:val="BodyText"/>
      </w:pPr>
      <w:r>
        <w:t xml:space="preserve">Use them to answer:</w:t>
      </w:r>
    </w:p>
    <w:p>
      <w:pPr>
        <w:pStyle w:val="Compact"/>
        <w:numPr>
          <w:ilvl w:val="0"/>
          <w:numId w:val="1004"/>
        </w:numPr>
      </w:pPr>
      <w:r>
        <w:t xml:space="preserve">What changed?</w:t>
      </w:r>
    </w:p>
    <w:p>
      <w:pPr>
        <w:pStyle w:val="Compact"/>
        <w:numPr>
          <w:ilvl w:val="0"/>
          <w:numId w:val="1004"/>
        </w:numPr>
      </w:pPr>
      <w:r>
        <w:t xml:space="preserve">Where did the request or packet stop?</w:t>
      </w:r>
    </w:p>
    <w:p>
      <w:pPr>
        <w:pStyle w:val="Compact"/>
        <w:numPr>
          <w:ilvl w:val="0"/>
          <w:numId w:val="1004"/>
        </w:numPr>
      </w:pPr>
      <w:r>
        <w:t xml:space="preserve">Which metric moved?</w:t>
      </w:r>
    </w:p>
    <w:p>
      <w:pPr>
        <w:pStyle w:val="Compact"/>
        <w:numPr>
          <w:ilvl w:val="0"/>
          <w:numId w:val="1004"/>
        </w:numPr>
      </w:pPr>
      <w:r>
        <w:t xml:space="preserve">Which log line proves the failure?</w:t>
      </w:r>
    </w:p>
    <w:p>
      <w:pPr>
        <w:pStyle w:val="Compact"/>
        <w:numPr>
          <w:ilvl w:val="0"/>
          <w:numId w:val="1004"/>
        </w:numPr>
      </w:pPr>
      <w:r>
        <w:t xml:space="preserve">Which control allowed or denied the action?</w:t>
      </w:r>
    </w:p>
    <w:p>
      <w:pPr>
        <w:pStyle w:val="Compact"/>
        <w:numPr>
          <w:ilvl w:val="0"/>
          <w:numId w:val="1004"/>
        </w:numPr>
      </w:pPr>
      <w:r>
        <w:t xml:space="preserve">What is still an assumption?</w:t>
      </w:r>
    </w:p>
    <w:bookmarkEnd w:id="14"/>
    <w:bookmarkStart w:id="15" w:name="evidence-standard"/>
    <w:p>
      <w:pPr>
        <w:pStyle w:val="Heading2"/>
      </w:pPr>
      <w:r>
        <w:t xml:space="preserve">Evidence Standard</w:t>
      </w:r>
    </w:p>
    <w:p>
      <w:pPr>
        <w:pStyle w:val="FirstParagraph"/>
      </w:pPr>
      <w:r>
        <w:t xml:space="preserve">Each meaningful lab should produce at least Level 2 evidence:</w:t>
      </w:r>
    </w:p>
    <w:p>
      <w:pPr>
        <w:pStyle w:val="Compact"/>
        <w:numPr>
          <w:ilvl w:val="0"/>
          <w:numId w:val="1005"/>
        </w:numPr>
      </w:pPr>
      <w:r>
        <w:t xml:space="preserve">formal concept</w:t>
      </w:r>
    </w:p>
    <w:p>
      <w:pPr>
        <w:pStyle w:val="Compact"/>
        <w:numPr>
          <w:ilvl w:val="0"/>
          <w:numId w:val="1005"/>
        </w:numPr>
      </w:pPr>
      <w:r>
        <w:t xml:space="preserve">system context</w:t>
      </w:r>
    </w:p>
    <w:p>
      <w:pPr>
        <w:pStyle w:val="Compact"/>
        <w:numPr>
          <w:ilvl w:val="0"/>
          <w:numId w:val="1005"/>
        </w:numPr>
      </w:pPr>
      <w:r>
        <w:t xml:space="preserve">hypothesis</w:t>
      </w:r>
    </w:p>
    <w:p>
      <w:pPr>
        <w:pStyle w:val="Compact"/>
        <w:numPr>
          <w:ilvl w:val="0"/>
          <w:numId w:val="1005"/>
        </w:numPr>
      </w:pPr>
      <w:r>
        <w:t xml:space="preserve">commands or summarized commands</w:t>
      </w:r>
    </w:p>
    <w:p>
      <w:pPr>
        <w:pStyle w:val="Compact"/>
        <w:numPr>
          <w:ilvl w:val="0"/>
          <w:numId w:val="1005"/>
        </w:numPr>
      </w:pPr>
      <w:r>
        <w:t xml:space="preserve">metrics, logs, packet capture, DB output, app output, or config excerpt</w:t>
      </w:r>
    </w:p>
    <w:p>
      <w:pPr>
        <w:pStyle w:val="Compact"/>
        <w:numPr>
          <w:ilvl w:val="0"/>
          <w:numId w:val="1005"/>
        </w:numPr>
      </w:pPr>
      <w:r>
        <w:t xml:space="preserve">result and limitation</w:t>
      </w:r>
    </w:p>
    <w:p>
      <w:pPr>
        <w:pStyle w:val="Compact"/>
        <w:numPr>
          <w:ilvl w:val="0"/>
          <w:numId w:val="1005"/>
        </w:numPr>
      </w:pPr>
      <w:r>
        <w:t xml:space="preserve">root cause where a failure was involved</w:t>
      </w:r>
    </w:p>
    <w:p>
      <w:pPr>
        <w:pStyle w:val="Compact"/>
        <w:numPr>
          <w:ilvl w:val="0"/>
          <w:numId w:val="1005"/>
        </w:numPr>
      </w:pPr>
      <w:r>
        <w:t xml:space="preserve">fix or rollback</w:t>
      </w:r>
    </w:p>
    <w:p>
      <w:pPr>
        <w:pStyle w:val="Compact"/>
        <w:numPr>
          <w:ilvl w:val="0"/>
          <w:numId w:val="1005"/>
        </w:numPr>
      </w:pPr>
      <w:r>
        <w:t xml:space="preserve">mapping to the source roadmap</w:t>
      </w:r>
    </w:p>
    <w:p>
      <w:pPr>
        <w:pStyle w:val="FirstParagraph"/>
      </w:pPr>
      <w:r>
        <w:t xml:space="preserve">Portfolio-quality work should reach Level 4: diagrams, tradeoffs, risks, failure evidence, and remaining assumptions.</w:t>
      </w:r>
    </w:p>
    <w:bookmarkEnd w:id="15"/>
    <w:bookmarkStart w:id="16" w:name="school-heavy-mode"/>
    <w:p>
      <w:pPr>
        <w:pStyle w:val="Heading2"/>
      </w:pPr>
      <w:r>
        <w:t xml:space="preserve">School-Heavy Mode</w:t>
      </w:r>
    </w:p>
    <w:p>
      <w:pPr>
        <w:pStyle w:val="FirstParagraph"/>
      </w:pPr>
      <w:r>
        <w:t xml:space="preserve">From August 1 to December 31, 2026, this repo obeys the source roadmap’s school-heavy rule:</w:t>
      </w:r>
    </w:p>
    <w:p>
      <w:pPr>
        <w:pStyle w:val="Compact"/>
        <w:numPr>
          <w:ilvl w:val="0"/>
          <w:numId w:val="1006"/>
        </w:numPr>
      </w:pPr>
      <w:r>
        <w:t xml:space="preserve">GPA recovery outranks optional homelab expansion.</w:t>
      </w:r>
    </w:p>
    <w:p>
      <w:pPr>
        <w:pStyle w:val="Compact"/>
        <w:numPr>
          <w:ilvl w:val="0"/>
          <w:numId w:val="1006"/>
        </w:numPr>
      </w:pPr>
      <w:r>
        <w:t xml:space="preserve">Homelab work is capped at 6-8 focused hours per week.</w:t>
      </w:r>
    </w:p>
    <w:p>
      <w:pPr>
        <w:pStyle w:val="Compact"/>
        <w:numPr>
          <w:ilvl w:val="0"/>
          <w:numId w:val="1006"/>
        </w:numPr>
      </w:pPr>
      <w:r>
        <w:t xml:space="preserve">Certification work is capped at 4-6 focused hours per week unless an exam is scheduled within 21 days.</w:t>
      </w:r>
    </w:p>
    <w:p>
      <w:pPr>
        <w:pStyle w:val="Compact"/>
        <w:numPr>
          <w:ilvl w:val="0"/>
          <w:numId w:val="1006"/>
        </w:numPr>
      </w:pPr>
      <w:r>
        <w:t xml:space="preserve">If any course is Red, failure injection is banned.</w:t>
      </w:r>
    </w:p>
    <w:p>
      <w:pPr>
        <w:pStyle w:val="Compact"/>
        <w:numPr>
          <w:ilvl w:val="0"/>
          <w:numId w:val="1006"/>
        </w:numPr>
      </w:pPr>
      <w:r>
        <w:t xml:space="preserve">If two courses are Yellow, homelab work is documentation-only.</w:t>
      </w:r>
    </w:p>
    <w:p>
      <w:pPr>
        <w:pStyle w:val="Compact"/>
        <w:numPr>
          <w:ilvl w:val="0"/>
          <w:numId w:val="1006"/>
        </w:numPr>
      </w:pPr>
      <w:r>
        <w:t xml:space="preserve">AWS SAA is blocked unless CCNA and CKA are passed and school is stable.</w:t>
      </w:r>
    </w:p>
    <w:p>
      <w:pPr>
        <w:pStyle w:val="FirstParagraph"/>
      </w:pPr>
      <w:r>
        <w:t xml:space="preserve">School deliverables count as roadmap artifacts when they use formal engineering language and course rules allow reuse.</w:t>
      </w:r>
    </w:p>
    <w:bookmarkEnd w:id="16"/>
    <w:bookmarkStart w:id="17" w:name="phase-map"/>
    <w:p>
      <w:pPr>
        <w:pStyle w:val="Heading2"/>
      </w:pPr>
      <w:r>
        <w:t xml:space="preserve">Phase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Source roadmap quarter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Main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Network and OS foundations, packet path, CCNA</w:t>
            </w:r>
          </w:p>
        </w:tc>
        <w:tc>
          <w:tcPr/>
          <w:p>
            <w:pPr>
              <w:pStyle w:val="Compact"/>
            </w:pPr>
            <w:r>
              <w:t xml:space="preserve">Packet paths are proven, not guessed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Containers, Kubernetes runtime, CKA</w:t>
            </w:r>
          </w:p>
        </w:tc>
        <w:tc>
          <w:tcPr/>
          <w:p>
            <w:pPr>
              <w:pStyle w:val="Compact"/>
            </w:pPr>
            <w:r>
              <w:t xml:space="preserve">Failures are debugged with events, logs, probes, DNS, endpoints, and 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Database, security, defense in depth</w:t>
            </w:r>
          </w:p>
        </w:tc>
        <w:tc>
          <w:tcPr/>
          <w:p>
            <w:pPr>
              <w:pStyle w:val="Compact"/>
            </w:pPr>
            <w:r>
              <w:t xml:space="preserve">Trust boundaries, DB behavior, and controls are backed by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Production discipline, portfolio, cloud mapping</w:t>
            </w:r>
          </w:p>
        </w:tc>
        <w:tc>
          <w:tcPr/>
          <w:p>
            <w:pPr>
              <w:pStyle w:val="Compact"/>
            </w:pPr>
            <w:r>
              <w:t xml:space="preserve">Evidence is packaged for senior review</w:t>
            </w:r>
          </w:p>
        </w:tc>
      </w:tr>
    </w:tbl>
    <w:bookmarkEnd w:id="17"/>
    <w:bookmarkStart w:id="18" w:name="final-standard"/>
    <w:p>
      <w:pPr>
        <w:pStyle w:val="Heading2"/>
      </w:pPr>
      <w:r>
        <w:t xml:space="preserve">Final Standard</w:t>
      </w:r>
    </w:p>
    <w:p>
      <w:pPr>
        <w:pStyle w:val="FirstParagraph"/>
      </w:pPr>
      <w:r>
        <w:t xml:space="preserve">At the end of the year, the work should support these statements without hiding behind tool names:</w:t>
      </w:r>
    </w:p>
    <w:p>
      <w:pPr>
        <w:pStyle w:val="Compact"/>
        <w:numPr>
          <w:ilvl w:val="0"/>
          <w:numId w:val="1007"/>
        </w:numPr>
      </w:pPr>
      <w:r>
        <w:t xml:space="preserve">here is the architecture</w:t>
      </w:r>
    </w:p>
    <w:p>
      <w:pPr>
        <w:pStyle w:val="Compact"/>
        <w:numPr>
          <w:ilvl w:val="0"/>
          <w:numId w:val="1007"/>
        </w:numPr>
      </w:pPr>
      <w:r>
        <w:t xml:space="preserve">here are the tradeoffs</w:t>
      </w:r>
    </w:p>
    <w:p>
      <w:pPr>
        <w:pStyle w:val="Compact"/>
        <w:numPr>
          <w:ilvl w:val="0"/>
          <w:numId w:val="1007"/>
        </w:numPr>
      </w:pPr>
      <w:r>
        <w:t xml:space="preserve">here is the packet path</w:t>
      </w:r>
    </w:p>
    <w:p>
      <w:pPr>
        <w:pStyle w:val="Compact"/>
        <w:numPr>
          <w:ilvl w:val="0"/>
          <w:numId w:val="1007"/>
        </w:numPr>
      </w:pPr>
      <w:r>
        <w:t xml:space="preserve">here is the trust boundary</w:t>
      </w:r>
    </w:p>
    <w:p>
      <w:pPr>
        <w:pStyle w:val="Compact"/>
        <w:numPr>
          <w:ilvl w:val="0"/>
          <w:numId w:val="1007"/>
        </w:numPr>
      </w:pPr>
      <w:r>
        <w:t xml:space="preserve">here is the failure I injected</w:t>
      </w:r>
    </w:p>
    <w:p>
      <w:pPr>
        <w:pStyle w:val="Compact"/>
        <w:numPr>
          <w:ilvl w:val="0"/>
          <w:numId w:val="1007"/>
        </w:numPr>
      </w:pPr>
      <w:r>
        <w:t xml:space="preserve">here is the metric that moved</w:t>
      </w:r>
    </w:p>
    <w:p>
      <w:pPr>
        <w:pStyle w:val="Compact"/>
        <w:numPr>
          <w:ilvl w:val="0"/>
          <w:numId w:val="1007"/>
        </w:numPr>
      </w:pPr>
      <w:r>
        <w:t xml:space="preserve">here is the root cause</w:t>
      </w:r>
    </w:p>
    <w:p>
      <w:pPr>
        <w:pStyle w:val="Compact"/>
        <w:numPr>
          <w:ilvl w:val="0"/>
          <w:numId w:val="1007"/>
        </w:numPr>
      </w:pPr>
      <w:r>
        <w:t xml:space="preserve">here is the fix</w:t>
      </w:r>
    </w:p>
    <w:p>
      <w:pPr>
        <w:pStyle w:val="Compact"/>
        <w:numPr>
          <w:ilvl w:val="0"/>
          <w:numId w:val="1007"/>
        </w:numPr>
      </w:pPr>
      <w:r>
        <w:t xml:space="preserve">here is the formal concept</w:t>
      </w:r>
    </w:p>
    <w:p>
      <w:pPr>
        <w:pStyle w:val="Compact"/>
        <w:numPr>
          <w:ilvl w:val="0"/>
          <w:numId w:val="1007"/>
        </w:numPr>
      </w:pPr>
      <w:r>
        <w:t xml:space="preserve">here is the remaining risk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2026-05-31T10:08:03Z</dcterms:created>
  <dcterms:modified xsi:type="dcterms:W3CDTF">2026-05-31T10:08:03Z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