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6cc181552eac45c41fec44c397c5299fa5b57d7"/>
    <w:p>
      <w:pPr>
        <w:pStyle w:val="Heading1"/>
      </w:pPr>
      <w:r>
        <w:t xml:space="preserve">Phase 4: Production Discipline, Cloud Mapping, and Portfolio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Package the year’s evidence into credible engineering artifacts: case studies, architecture decisions, postmortems, runbooks, cloud mapping, GitHub/profile updates, and final review material. The goal is to become defensible on paper, not only capable in the terminal.</w:t>
      </w:r>
    </w:p>
    <w:bookmarkEnd w:id="9"/>
    <w:bookmarkStart w:id="10" w:name="mapping-to-source-of-truth-roadmap"/>
    <w:p>
      <w:pPr>
        <w:pStyle w:val="Heading2"/>
      </w:pPr>
      <w:r>
        <w:t xml:space="preserve">2. Mapping To Source-Of-Truth Roadmap</w:t>
      </w:r>
    </w:p>
    <w:p>
      <w:pPr>
        <w:pStyle w:val="Compact"/>
        <w:numPr>
          <w:ilvl w:val="0"/>
          <w:numId w:val="1001"/>
        </w:numPr>
      </w:pPr>
      <w:r>
        <w:t xml:space="preserve">Source quarter: Q4, Production Discipline, Cloud Mapping, and Portfolio.</w:t>
      </w:r>
    </w:p>
    <w:p>
      <w:pPr>
        <w:pStyle w:val="Compact"/>
        <w:numPr>
          <w:ilvl w:val="0"/>
          <w:numId w:val="1001"/>
        </w:numPr>
      </w:pPr>
      <w:r>
        <w:t xml:space="preserve">Optional exam target: AWS SAA.</w:t>
      </w:r>
    </w:p>
    <w:p>
      <w:pPr>
        <w:pStyle w:val="Compact"/>
        <w:numPr>
          <w:ilvl w:val="0"/>
          <w:numId w:val="1001"/>
        </w:numPr>
      </w:pPr>
      <w:r>
        <w:t xml:space="preserve">Theme: Become credible on paper, not just in the terminal.</w:t>
      </w:r>
    </w:p>
    <w:p>
      <w:pPr>
        <w:pStyle w:val="Compact"/>
        <w:numPr>
          <w:ilvl w:val="0"/>
          <w:numId w:val="1001"/>
        </w:numPr>
      </w:pPr>
      <w:r>
        <w:t xml:space="preserve">School-heavy default: consolidation, not expansion.</w:t>
      </w:r>
    </w:p>
    <w:bookmarkEnd w:id="10"/>
    <w:bookmarkStart w:id="11" w:name="why-this-phase-exists"/>
    <w:p>
      <w:pPr>
        <w:pStyle w:val="Heading2"/>
      </w:pPr>
      <w:r>
        <w:t xml:space="preserve">3. Why This Phase Exists</w:t>
      </w:r>
    </w:p>
    <w:p>
      <w:pPr>
        <w:pStyle w:val="FirstParagraph"/>
      </w:pPr>
      <w:r>
        <w:t xml:space="preserve">Good homelab work can still fail a senior review if evidence is scattered, diagrams are vague, postmortems are missing, and cloud mapping is just vocabulary. This phase turns raw work into readable proof: architecture, tradeoffs, packet paths, trust boundaries, failures, metrics, root causes, fixes, formal concepts, and remaining risks.</w:t>
      </w:r>
    </w:p>
    <w:bookmarkEnd w:id="11"/>
    <w:bookmarkStart w:id="12" w:name="theory-to-learn"/>
    <w:p>
      <w:pPr>
        <w:pStyle w:val="Heading2"/>
      </w:pPr>
      <w:r>
        <w:t xml:space="preserve">4. Theory To Learn</w:t>
      </w:r>
    </w:p>
    <w:p>
      <w:pPr>
        <w:pStyle w:val="FirstParagraph"/>
      </w:pPr>
      <w:r>
        <w:t xml:space="preserve">Production discipline:</w:t>
      </w:r>
    </w:p>
    <w:p>
      <w:pPr>
        <w:pStyle w:val="Compact"/>
        <w:numPr>
          <w:ilvl w:val="0"/>
          <w:numId w:val="1002"/>
        </w:numPr>
      </w:pPr>
      <w:r>
        <w:t xml:space="preserve">incident management</w:t>
      </w:r>
    </w:p>
    <w:p>
      <w:pPr>
        <w:pStyle w:val="Compact"/>
        <w:numPr>
          <w:ilvl w:val="0"/>
          <w:numId w:val="1002"/>
        </w:numPr>
      </w:pPr>
      <w:r>
        <w:t xml:space="preserve">postmortem quality</w:t>
      </w:r>
    </w:p>
    <w:p>
      <w:pPr>
        <w:pStyle w:val="Compact"/>
        <w:numPr>
          <w:ilvl w:val="0"/>
          <w:numId w:val="1002"/>
        </w:numPr>
      </w:pPr>
      <w:r>
        <w:t xml:space="preserve">runbook clarity</w:t>
      </w:r>
    </w:p>
    <w:p>
      <w:pPr>
        <w:pStyle w:val="Compact"/>
        <w:numPr>
          <w:ilvl w:val="0"/>
          <w:numId w:val="1002"/>
        </w:numPr>
      </w:pPr>
      <w:r>
        <w:t xml:space="preserve">recovery planning</w:t>
      </w:r>
    </w:p>
    <w:p>
      <w:pPr>
        <w:pStyle w:val="Compact"/>
        <w:numPr>
          <w:ilvl w:val="0"/>
          <w:numId w:val="1002"/>
        </w:numPr>
      </w:pPr>
      <w:r>
        <w:t xml:space="preserve">capacity and saturation</w:t>
      </w:r>
    </w:p>
    <w:p>
      <w:pPr>
        <w:pStyle w:val="Compact"/>
        <w:numPr>
          <w:ilvl w:val="0"/>
          <w:numId w:val="1002"/>
        </w:numPr>
      </w:pPr>
      <w:r>
        <w:t xml:space="preserve">change risk</w:t>
      </w:r>
    </w:p>
    <w:p>
      <w:pPr>
        <w:pStyle w:val="Compact"/>
        <w:numPr>
          <w:ilvl w:val="0"/>
          <w:numId w:val="1002"/>
        </w:numPr>
      </w:pPr>
      <w:r>
        <w:t xml:space="preserve">operational ownership</w:t>
      </w:r>
    </w:p>
    <w:p>
      <w:pPr>
        <w:pStyle w:val="FirstParagraph"/>
      </w:pPr>
      <w:r>
        <w:t xml:space="preserve">Software architecture:</w:t>
      </w:r>
    </w:p>
    <w:p>
      <w:pPr>
        <w:pStyle w:val="Compact"/>
        <w:numPr>
          <w:ilvl w:val="0"/>
          <w:numId w:val="1003"/>
        </w:numPr>
      </w:pPr>
      <w:r>
        <w:t xml:space="preserve">modularity</w:t>
      </w:r>
    </w:p>
    <w:p>
      <w:pPr>
        <w:pStyle w:val="Compact"/>
        <w:numPr>
          <w:ilvl w:val="0"/>
          <w:numId w:val="1003"/>
        </w:numPr>
      </w:pPr>
      <w:r>
        <w:t xml:space="preserve">coupling and cohesion</w:t>
      </w:r>
    </w:p>
    <w:p>
      <w:pPr>
        <w:pStyle w:val="Compact"/>
        <w:numPr>
          <w:ilvl w:val="0"/>
          <w:numId w:val="1003"/>
        </w:numPr>
      </w:pPr>
      <w:r>
        <w:t xml:space="preserve">ports and adapters</w:t>
      </w:r>
    </w:p>
    <w:p>
      <w:pPr>
        <w:pStyle w:val="Compact"/>
        <w:numPr>
          <w:ilvl w:val="0"/>
          <w:numId w:val="1003"/>
        </w:numPr>
      </w:pPr>
      <w:r>
        <w:t xml:space="preserve">C4 model</w:t>
      </w:r>
    </w:p>
    <w:p>
      <w:pPr>
        <w:pStyle w:val="Compact"/>
        <w:numPr>
          <w:ilvl w:val="0"/>
          <w:numId w:val="1003"/>
        </w:numPr>
      </w:pPr>
      <w:r>
        <w:t xml:space="preserve">UML sequence and component diagrams</w:t>
      </w:r>
    </w:p>
    <w:p>
      <w:pPr>
        <w:pStyle w:val="Compact"/>
        <w:numPr>
          <w:ilvl w:val="0"/>
          <w:numId w:val="1003"/>
        </w:numPr>
      </w:pPr>
      <w:r>
        <w:t xml:space="preserve">ADR discipline</w:t>
      </w:r>
    </w:p>
    <w:p>
      <w:pPr>
        <w:pStyle w:val="FirstParagraph"/>
      </w:pPr>
      <w:r>
        <w:t xml:space="preserve">Distributed systems and reliability:</w:t>
      </w:r>
    </w:p>
    <w:p>
      <w:pPr>
        <w:pStyle w:val="Compact"/>
        <w:numPr>
          <w:ilvl w:val="0"/>
          <w:numId w:val="1004"/>
        </w:numPr>
      </w:pPr>
      <w:r>
        <w:t xml:space="preserve">partial failure</w:t>
      </w:r>
    </w:p>
    <w:p>
      <w:pPr>
        <w:pStyle w:val="Compact"/>
        <w:numPr>
          <w:ilvl w:val="0"/>
          <w:numId w:val="1004"/>
        </w:numPr>
      </w:pPr>
      <w:r>
        <w:t xml:space="preserve">timeout and retry</w:t>
      </w:r>
    </w:p>
    <w:p>
      <w:pPr>
        <w:pStyle w:val="Compact"/>
        <w:numPr>
          <w:ilvl w:val="0"/>
          <w:numId w:val="1004"/>
        </w:numPr>
      </w:pPr>
      <w:r>
        <w:t xml:space="preserve">idempotency</w:t>
      </w:r>
    </w:p>
    <w:p>
      <w:pPr>
        <w:pStyle w:val="Compact"/>
        <w:numPr>
          <w:ilvl w:val="0"/>
          <w:numId w:val="1004"/>
        </w:numPr>
      </w:pPr>
      <w:r>
        <w:t xml:space="preserve">consistency</w:t>
      </w:r>
    </w:p>
    <w:p>
      <w:pPr>
        <w:pStyle w:val="Compact"/>
        <w:numPr>
          <w:ilvl w:val="0"/>
          <w:numId w:val="1004"/>
        </w:numPr>
      </w:pPr>
      <w:r>
        <w:t xml:space="preserve">dependency graph</w:t>
      </w:r>
    </w:p>
    <w:p>
      <w:pPr>
        <w:pStyle w:val="Compact"/>
        <w:numPr>
          <w:ilvl w:val="0"/>
          <w:numId w:val="1004"/>
        </w:numPr>
      </w:pPr>
      <w:r>
        <w:t xml:space="preserve">failure domain</w:t>
      </w:r>
    </w:p>
    <w:p>
      <w:pPr>
        <w:pStyle w:val="Compact"/>
        <w:numPr>
          <w:ilvl w:val="0"/>
          <w:numId w:val="1004"/>
        </w:numPr>
      </w:pPr>
      <w:r>
        <w:t xml:space="preserve">observability as evidence</w:t>
      </w:r>
    </w:p>
    <w:p>
      <w:pPr>
        <w:pStyle w:val="FirstParagraph"/>
      </w:pPr>
      <w:r>
        <w:t xml:space="preserve">Cloud mapping:</w:t>
      </w:r>
    </w:p>
    <w:p>
      <w:pPr>
        <w:pStyle w:val="Compact"/>
        <w:numPr>
          <w:ilvl w:val="0"/>
          <w:numId w:val="1005"/>
        </w:numPr>
      </w:pPr>
      <w:r>
        <w:t xml:space="preserve">VPC, subnet, security group, NACL</w:t>
      </w:r>
    </w:p>
    <w:p>
      <w:pPr>
        <w:pStyle w:val="Compact"/>
        <w:numPr>
          <w:ilvl w:val="0"/>
          <w:numId w:val="1005"/>
        </w:numPr>
      </w:pPr>
      <w:r>
        <w:t xml:space="preserve">IAM</w:t>
      </w:r>
    </w:p>
    <w:p>
      <w:pPr>
        <w:pStyle w:val="Compact"/>
        <w:numPr>
          <w:ilvl w:val="0"/>
          <w:numId w:val="1005"/>
        </w:numPr>
      </w:pPr>
      <w:r>
        <w:t xml:space="preserve">load balancer</w:t>
      </w:r>
    </w:p>
    <w:p>
      <w:pPr>
        <w:pStyle w:val="Compact"/>
        <w:numPr>
          <w:ilvl w:val="0"/>
          <w:numId w:val="1005"/>
        </w:numPr>
      </w:pPr>
      <w:r>
        <w:t xml:space="preserve">managed database</w:t>
      </w:r>
    </w:p>
    <w:p>
      <w:pPr>
        <w:pStyle w:val="Compact"/>
        <w:numPr>
          <w:ilvl w:val="0"/>
          <w:numId w:val="1005"/>
        </w:numPr>
      </w:pPr>
      <w:r>
        <w:t xml:space="preserve">object storage</w:t>
      </w:r>
    </w:p>
    <w:p>
      <w:pPr>
        <w:pStyle w:val="Compact"/>
        <w:numPr>
          <w:ilvl w:val="0"/>
          <w:numId w:val="1005"/>
        </w:numPr>
      </w:pPr>
      <w:r>
        <w:t xml:space="preserve">autoscaling</w:t>
      </w:r>
    </w:p>
    <w:p>
      <w:pPr>
        <w:pStyle w:val="Compact"/>
        <w:numPr>
          <w:ilvl w:val="0"/>
          <w:numId w:val="1005"/>
        </w:numPr>
      </w:pPr>
      <w:r>
        <w:t xml:space="preserve">monitoring</w:t>
      </w:r>
    </w:p>
    <w:p>
      <w:pPr>
        <w:pStyle w:val="Compact"/>
        <w:numPr>
          <w:ilvl w:val="0"/>
          <w:numId w:val="1005"/>
        </w:numPr>
      </w:pPr>
      <w:r>
        <w:t xml:space="preserve">cost and capacity tradeoffs</w:t>
      </w:r>
    </w:p>
    <w:bookmarkEnd w:id="12"/>
    <w:bookmarkStart w:id="20" w:name="practical-labs"/>
    <w:p>
      <w:pPr>
        <w:pStyle w:val="Heading2"/>
      </w:pPr>
      <w:r>
        <w:t xml:space="preserve">5. Practical Labs</w:t>
      </w:r>
    </w:p>
    <w:bookmarkStart w:id="13" w:name="lab-1-evidence-index"/>
    <w:p>
      <w:pPr>
        <w:pStyle w:val="Heading3"/>
      </w:pPr>
      <w:r>
        <w:t xml:space="preserve">Lab 1: Evidence Index</w:t>
      </w:r>
    </w:p>
    <w:p>
      <w:pPr>
        <w:pStyle w:val="FirstParagraph"/>
      </w:pPr>
      <w:r>
        <w:t xml:space="preserve">Create a yearly evidence index:</w:t>
      </w:r>
    </w:p>
    <w:p>
      <w:pPr>
        <w:pStyle w:val="SourceCode"/>
      </w:pPr>
      <w:r>
        <w:rPr>
          <w:rStyle w:val="VerbatimChar"/>
        </w:rPr>
        <w:t xml:space="preserve">Artifact:</w:t>
      </w:r>
      <w:r>
        <w:br/>
      </w: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Phase:</w:t>
      </w:r>
      <w:r>
        <w:br/>
      </w:r>
      <w:r>
        <w:rPr>
          <w:rStyle w:val="VerbatimChar"/>
        </w:rPr>
        <w:t xml:space="preserve">Formal concept:</w:t>
      </w:r>
      <w:r>
        <w:br/>
      </w:r>
      <w:r>
        <w:rPr>
          <w:rStyle w:val="VerbatimChar"/>
        </w:rPr>
        <w:t xml:space="preserve">System touched:</w:t>
      </w:r>
      <w:r>
        <w:br/>
      </w:r>
      <w:r>
        <w:rPr>
          <w:rStyle w:val="VerbatimChar"/>
        </w:rPr>
        <w:t xml:space="preserve">Evidence level:</w:t>
      </w:r>
      <w:r>
        <w:br/>
      </w:r>
      <w:r>
        <w:rPr>
          <w:rStyle w:val="VerbatimChar"/>
        </w:rPr>
        <w:t xml:space="preserve">Reviewer concern:</w:t>
      </w:r>
      <w:r>
        <w:br/>
      </w:r>
      <w:r>
        <w:rPr>
          <w:rStyle w:val="VerbatimChar"/>
        </w:rPr>
        <w:t xml:space="preserve">Path:</w:t>
      </w:r>
      <w:r>
        <w:br/>
      </w:r>
      <w:r>
        <w:rPr>
          <w:rStyle w:val="VerbatimChar"/>
        </w:rPr>
        <w:t xml:space="preserve">Next action:</w:t>
      </w:r>
    </w:p>
    <w:p>
      <w:pPr>
        <w:pStyle w:val="FirstParagraph"/>
      </w:pPr>
      <w:r>
        <w:t xml:space="preserve">Use it to find weak or duplicate work before polishing.</w:t>
      </w:r>
    </w:p>
    <w:bookmarkEnd w:id="13"/>
    <w:bookmarkStart w:id="14" w:name="lab-2-architecture-whitepaper"/>
    <w:p>
      <w:pPr>
        <w:pStyle w:val="Heading3"/>
      </w:pPr>
      <w:r>
        <w:t xml:space="preserve">Lab 2: Architecture Whitepaper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homelab-architecture-whitepaper.md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w:r>
        <w:t xml:space="preserve">learning/business goal</w:t>
      </w:r>
    </w:p>
    <w:p>
      <w:pPr>
        <w:pStyle w:val="Compact"/>
        <w:numPr>
          <w:ilvl w:val="0"/>
          <w:numId w:val="1006"/>
        </w:numPr>
      </w:pPr>
      <w:r>
        <w:t xml:space="preserve">constraints</w:t>
      </w:r>
    </w:p>
    <w:p>
      <w:pPr>
        <w:pStyle w:val="Compact"/>
        <w:numPr>
          <w:ilvl w:val="0"/>
          <w:numId w:val="1006"/>
        </w:numPr>
      </w:pPr>
      <w:r>
        <w:t xml:space="preserve">physical and logical architecture</w:t>
      </w:r>
    </w:p>
    <w:p>
      <w:pPr>
        <w:pStyle w:val="Compact"/>
        <w:numPr>
          <w:ilvl w:val="0"/>
          <w:numId w:val="1006"/>
        </w:numPr>
      </w:pPr>
      <w:r>
        <w:t xml:space="preserve">packet/request paths</w:t>
      </w:r>
    </w:p>
    <w:p>
      <w:pPr>
        <w:pStyle w:val="Compact"/>
        <w:numPr>
          <w:ilvl w:val="0"/>
          <w:numId w:val="1006"/>
        </w:numPr>
      </w:pPr>
      <w:r>
        <w:t xml:space="preserve">trust boundaries</w:t>
      </w:r>
    </w:p>
    <w:p>
      <w:pPr>
        <w:pStyle w:val="Compact"/>
        <w:numPr>
          <w:ilvl w:val="0"/>
          <w:numId w:val="1006"/>
        </w:numPr>
      </w:pPr>
      <w:r>
        <w:t xml:space="preserve">security controls</w:t>
      </w:r>
    </w:p>
    <w:p>
      <w:pPr>
        <w:pStyle w:val="Compact"/>
        <w:numPr>
          <w:ilvl w:val="0"/>
          <w:numId w:val="1006"/>
        </w:numPr>
      </w:pPr>
      <w:r>
        <w:t xml:space="preserve">observability and evidence sources</w:t>
      </w:r>
    </w:p>
    <w:p>
      <w:pPr>
        <w:pStyle w:val="Compact"/>
        <w:numPr>
          <w:ilvl w:val="0"/>
          <w:numId w:val="1006"/>
        </w:numPr>
      </w:pPr>
      <w:r>
        <w:t xml:space="preserve">recovery plan</w:t>
      </w:r>
    </w:p>
    <w:p>
      <w:pPr>
        <w:pStyle w:val="Compact"/>
        <w:numPr>
          <w:ilvl w:val="0"/>
          <w:numId w:val="1006"/>
        </w:numPr>
      </w:pPr>
      <w:r>
        <w:t xml:space="preserve">tradeoffs</w:t>
      </w:r>
    </w:p>
    <w:p>
      <w:pPr>
        <w:pStyle w:val="Compact"/>
        <w:numPr>
          <w:ilvl w:val="0"/>
          <w:numId w:val="1006"/>
        </w:numPr>
      </w:pPr>
      <w:r>
        <w:t xml:space="preserve">remaining assumptions</w:t>
      </w:r>
    </w:p>
    <w:bookmarkEnd w:id="14"/>
    <w:bookmarkStart w:id="15" w:name="lab-3-case-study-packaging"/>
    <w:p>
      <w:pPr>
        <w:pStyle w:val="Heading3"/>
      </w:pPr>
      <w:r>
        <w:t xml:space="preserve">Lab 3: Case Study Packaging</w:t>
      </w:r>
    </w:p>
    <w:p>
      <w:pPr>
        <w:pStyle w:val="FirstParagraph"/>
      </w:pPr>
      <w:r>
        <w:t xml:space="preserve">Choose one primary public case study:</w:t>
      </w:r>
    </w:p>
    <w:p>
      <w:pPr>
        <w:pStyle w:val="Compact"/>
        <w:numPr>
          <w:ilvl w:val="0"/>
          <w:numId w:val="1007"/>
        </w:numPr>
      </w:pPr>
      <w:r>
        <w:t xml:space="preserve">hybrid homelab architecture case study</w:t>
      </w:r>
    </w:p>
    <w:p>
      <w:pPr>
        <w:pStyle w:val="Compact"/>
        <w:numPr>
          <w:ilvl w:val="0"/>
          <w:numId w:val="1007"/>
        </w:numPr>
      </w:pPr>
      <w:r>
        <w:t xml:space="preserve">secure deployment case study</w:t>
      </w:r>
    </w:p>
    <w:p>
      <w:pPr>
        <w:pStyle w:val="Compact"/>
        <w:numPr>
          <w:ilvl w:val="0"/>
          <w:numId w:val="1007"/>
        </w:numPr>
      </w:pPr>
      <w:r>
        <w:t xml:space="preserve">Headscale/Tailscale/VyOS defense-in-depth case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student-feedback-system</w:t>
      </w:r>
      <w:r>
        <w:t xml:space="preserve"> </w:t>
      </w:r>
      <w:r>
        <w:t xml:space="preserve">end-to-end case</w:t>
      </w:r>
    </w:p>
    <w:p>
      <w:pPr>
        <w:pStyle w:val="FirstParagraph"/>
      </w:pPr>
      <w:r>
        <w:t xml:space="preserve">Do not attempt three case studies during school-heavy mode.</w:t>
      </w:r>
    </w:p>
    <w:bookmarkEnd w:id="15"/>
    <w:bookmarkStart w:id="16" w:name="lab-4-incidentpostmortem-write-up"/>
    <w:p>
      <w:pPr>
        <w:pStyle w:val="Heading3"/>
      </w:pPr>
      <w:r>
        <w:t xml:space="preserve">Lab 4: Incident/Postmortem Write-Up</w:t>
      </w:r>
    </w:p>
    <w:p>
      <w:pPr>
        <w:pStyle w:val="FirstParagraph"/>
      </w:pPr>
      <w:r>
        <w:t xml:space="preserve">Select one real incident or failure injection. Rewrite it to Level 3 or Level 4 quality with timeline, impact, detection, root cause, resolution, prevention, evidence, and runbook change.</w:t>
      </w:r>
    </w:p>
    <w:bookmarkEnd w:id="16"/>
    <w:bookmarkStart w:id="17" w:name="lab-5-adr-collection"/>
    <w:p>
      <w:pPr>
        <w:pStyle w:val="Heading3"/>
      </w:pPr>
      <w:r>
        <w:t xml:space="preserve">Lab 5: ADR Collection</w:t>
      </w:r>
    </w:p>
    <w:p>
      <w:pPr>
        <w:pStyle w:val="FirstParagraph"/>
      </w:pPr>
      <w:r>
        <w:t xml:space="preserve">Clean at least the important ADRs:</w:t>
      </w:r>
    </w:p>
    <w:p>
      <w:pPr>
        <w:pStyle w:val="Compact"/>
        <w:numPr>
          <w:ilvl w:val="0"/>
          <w:numId w:val="1008"/>
        </w:numPr>
      </w:pPr>
      <w:r>
        <w:t xml:space="preserve">admin access path</w:t>
      </w:r>
    </w:p>
    <w:p>
      <w:pPr>
        <w:pStyle w:val="Compact"/>
        <w:numPr>
          <w:ilvl w:val="0"/>
          <w:numId w:val="1008"/>
        </w:numPr>
      </w:pPr>
      <w:r>
        <w:t xml:space="preserve">secret handling</w:t>
      </w:r>
    </w:p>
    <w:p>
      <w:pPr>
        <w:pStyle w:val="Compact"/>
        <w:numPr>
          <w:ilvl w:val="0"/>
          <w:numId w:val="1008"/>
        </w:numPr>
      </w:pPr>
      <w:r>
        <w:t xml:space="preserve">network ACL policy</w:t>
      </w:r>
    </w:p>
    <w:p>
      <w:pPr>
        <w:pStyle w:val="Compact"/>
        <w:numPr>
          <w:ilvl w:val="0"/>
          <w:numId w:val="1008"/>
        </w:numPr>
      </w:pPr>
      <w:r>
        <w:t xml:space="preserve">audit logging policy</w:t>
      </w:r>
    </w:p>
    <w:p>
      <w:pPr>
        <w:pStyle w:val="Compact"/>
        <w:numPr>
          <w:ilvl w:val="0"/>
          <w:numId w:val="1008"/>
        </w:numPr>
      </w:pPr>
      <w:r>
        <w:t xml:space="preserve">backup/restore policy</w:t>
      </w:r>
    </w:p>
    <w:p>
      <w:pPr>
        <w:pStyle w:val="Compact"/>
        <w:numPr>
          <w:ilvl w:val="0"/>
          <w:numId w:val="1008"/>
        </w:numPr>
      </w:pPr>
      <w:r>
        <w:t xml:space="preserve">public exposure policy</w:t>
      </w:r>
    </w:p>
    <w:p>
      <w:pPr>
        <w:pStyle w:val="Compact"/>
        <w:numPr>
          <w:ilvl w:val="0"/>
          <w:numId w:val="1008"/>
        </w:numPr>
      </w:pPr>
      <w:r>
        <w:t xml:space="preserve">Kubernetes RBAC policy if Phase 2 completed</w:t>
      </w:r>
    </w:p>
    <w:bookmarkEnd w:id="17"/>
    <w:bookmarkStart w:id="18" w:name="lab-6-homelab-to-cloud-mapping"/>
    <w:p>
      <w:pPr>
        <w:pStyle w:val="Heading3"/>
      </w:pPr>
      <w:r>
        <w:t xml:space="preserve">Lab 6: Homelab-To-Cloud Mapping</w:t>
      </w:r>
    </w:p>
    <w:p>
      <w:pPr>
        <w:pStyle w:val="FirstParagraph"/>
      </w:pPr>
      <w:r>
        <w:t xml:space="preserve">Map local concepts to AWS only after local evidence exists: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Homelab concept</w:t>
            </w:r>
          </w:p>
        </w:tc>
        <w:tc>
          <w:tcPr/>
          <w:p>
            <w:pPr>
              <w:pStyle w:val="Compact"/>
            </w:pPr>
            <w:r>
              <w:t xml:space="preserve">AWS concept</w:t>
            </w:r>
          </w:p>
        </w:tc>
        <w:tc>
          <w:tcPr/>
          <w:p>
            <w:pPr>
              <w:pStyle w:val="Compact"/>
            </w:pPr>
            <w:r>
              <w:t xml:space="preserve">Required local proof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VLAN/subnet</w:t>
            </w:r>
          </w:p>
        </w:tc>
        <w:tc>
          <w:tcPr/>
          <w:p>
            <w:pPr>
              <w:pStyle w:val="Compact"/>
            </w:pPr>
            <w:r>
              <w:t xml:space="preserve">VPC subnet</w:t>
            </w:r>
          </w:p>
        </w:tc>
        <w:tc>
          <w:tcPr/>
          <w:p>
            <w:pPr>
              <w:pStyle w:val="Compact"/>
            </w:pPr>
            <w:r>
              <w:t xml:space="preserve">route/subnet/VLAN diagram and packet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firewall/ACL</w:t>
            </w:r>
          </w:p>
        </w:tc>
        <w:tc>
          <w:tcPr/>
          <w:p>
            <w:pPr>
              <w:pStyle w:val="Compact"/>
            </w:pPr>
            <w:r>
              <w:t xml:space="preserve">Security Group/NACL</w:t>
            </w:r>
          </w:p>
        </w:tc>
        <w:tc>
          <w:tcPr/>
          <w:p>
            <w:pPr>
              <w:pStyle w:val="Compact"/>
            </w:pPr>
            <w:r>
              <w:t xml:space="preserve">allow/deny evidence and ACL rule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S3 concept</w:t>
            </w:r>
          </w:p>
        </w:tc>
        <w:tc>
          <w:tcPr/>
          <w:p>
            <w:pPr>
              <w:pStyle w:val="Compact"/>
            </w:pPr>
            <w:r>
              <w:t xml:space="preserve">object storage path and access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Server/PostgreSQL</w:t>
            </w:r>
          </w:p>
        </w:tc>
        <w:tc>
          <w:tcPr/>
          <w:p>
            <w:pPr>
              <w:pStyle w:val="Compact"/>
            </w:pPr>
            <w:r>
              <w:t xml:space="preserve">RDS concept</w:t>
            </w:r>
          </w:p>
        </w:tc>
        <w:tc>
          <w:tcPr/>
          <w:p>
            <w:pPr>
              <w:pStyle w:val="Compact"/>
            </w:pPr>
            <w:r>
              <w:t xml:space="preserve">backup/restore and least privilege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proxy/ingress</w:t>
            </w:r>
          </w:p>
        </w:tc>
        <w:tc>
          <w:tcPr/>
          <w:p>
            <w:pPr>
              <w:pStyle w:val="Compact"/>
            </w:pPr>
            <w:r>
              <w:t xml:space="preserve">ALB/NLB concept</w:t>
            </w:r>
          </w:p>
        </w:tc>
        <w:tc>
          <w:tcPr/>
          <w:p>
            <w:pPr>
              <w:pStyle w:val="Compact"/>
            </w:pPr>
            <w:r>
              <w:t xml:space="preserve">request path and health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Tailscale/Headscale</w:t>
            </w:r>
          </w:p>
        </w:tc>
        <w:tc>
          <w:tcPr/>
          <w:p>
            <w:pPr>
              <w:pStyle w:val="Compact"/>
            </w:pPr>
            <w:r>
              <w:t xml:space="preserve">private connectivity and identity-aware access</w:t>
            </w:r>
          </w:p>
        </w:tc>
        <w:tc>
          <w:tcPr/>
          <w:p>
            <w:pPr>
              <w:pStyle w:val="Compact"/>
            </w:pPr>
            <w:r>
              <w:t xml:space="preserve">ACL and identity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Grafana/InfluxDB</w:t>
            </w:r>
          </w:p>
        </w:tc>
        <w:tc>
          <w:tcPr/>
          <w:p>
            <w:pPr>
              <w:pStyle w:val="Compact"/>
            </w:pPr>
            <w:r>
              <w:t xml:space="preserve">CloudWatch/managed observability concept</w:t>
            </w:r>
          </w:p>
        </w:tc>
        <w:tc>
          <w:tcPr/>
          <w:p>
            <w:pPr>
              <w:pStyle w:val="Compact"/>
            </w:pPr>
            <w:r>
              <w:t xml:space="preserve">metric/log evidence used in a real investigation</w:t>
            </w:r>
          </w:p>
        </w:tc>
      </w:tr>
    </w:tbl>
    <w:bookmarkEnd w:id="18"/>
    <w:bookmarkStart w:id="19" w:name="lab-7-githubprofile-polish"/>
    <w:p>
      <w:pPr>
        <w:pStyle w:val="Heading3"/>
      </w:pPr>
      <w:r>
        <w:t xml:space="preserve">Lab 7: GitHub/Profile Polish</w:t>
      </w:r>
    </w:p>
    <w:p>
      <w:pPr>
        <w:pStyle w:val="FirstParagraph"/>
      </w:pPr>
      <w:r>
        <w:t xml:space="preserve">Update only evidence-backed claims:</w:t>
      </w:r>
    </w:p>
    <w:p>
      <w:pPr>
        <w:pStyle w:val="Compact"/>
        <w:numPr>
          <w:ilvl w:val="0"/>
          <w:numId w:val="1009"/>
        </w:numPr>
      </w:pPr>
      <w:r>
        <w:t xml:space="preserve">profile README</w:t>
      </w:r>
    </w:p>
    <w:p>
      <w:pPr>
        <w:pStyle w:val="Compact"/>
        <w:numPr>
          <w:ilvl w:val="0"/>
          <w:numId w:val="1009"/>
        </w:numPr>
      </w:pPr>
      <w:r>
        <w:t xml:space="preserve">top 3-5 repos depending on school-heavy mode</w:t>
      </w:r>
    </w:p>
    <w:p>
      <w:pPr>
        <w:pStyle w:val="Compact"/>
        <w:numPr>
          <w:ilvl w:val="0"/>
          <w:numId w:val="1009"/>
        </w:numPr>
      </w:pPr>
      <w:r>
        <w:t xml:space="preserve">diagrams linked from repos</w:t>
      </w:r>
    </w:p>
    <w:p>
      <w:pPr>
        <w:pStyle w:val="Compact"/>
        <w:numPr>
          <w:ilvl w:val="0"/>
          <w:numId w:val="1009"/>
        </w:numPr>
      </w:pPr>
      <w:r>
        <w:t xml:space="preserve">postmortems or case studies linked where safe</w:t>
      </w:r>
    </w:p>
    <w:p>
      <w:pPr>
        <w:pStyle w:val="Compact"/>
        <w:numPr>
          <w:ilvl w:val="0"/>
          <w:numId w:val="1009"/>
        </w:numPr>
      </w:pPr>
      <w:r>
        <w:t xml:space="preserve">claims tied to artifacts, not tool badges</w:t>
      </w:r>
    </w:p>
    <w:bookmarkEnd w:id="19"/>
    <w:bookmarkEnd w:id="20"/>
    <w:bookmarkStart w:id="21" w:name="evidence-required"/>
    <w:p>
      <w:pPr>
        <w:pStyle w:val="Heading2"/>
      </w:pPr>
      <w:r>
        <w:t xml:space="preserve">6. Evidence Required</w:t>
      </w:r>
    </w:p>
    <w:p>
      <w:pPr>
        <w:pStyle w:val="FirstParagraph"/>
      </w:pPr>
      <w:r>
        <w:t xml:space="preserve">Each Phase 4 artifact must include:</w:t>
      </w:r>
    </w:p>
    <w:p>
      <w:pPr>
        <w:pStyle w:val="Compact"/>
        <w:numPr>
          <w:ilvl w:val="0"/>
          <w:numId w:val="1010"/>
        </w:numPr>
      </w:pPr>
      <w:r>
        <w:t xml:space="preserve">source evidence links or paths</w:t>
      </w:r>
    </w:p>
    <w:p>
      <w:pPr>
        <w:pStyle w:val="Compact"/>
        <w:numPr>
          <w:ilvl w:val="0"/>
          <w:numId w:val="1010"/>
        </w:numPr>
      </w:pPr>
      <w:r>
        <w:t xml:space="preserve">diagrams where useful</w:t>
      </w:r>
    </w:p>
    <w:p>
      <w:pPr>
        <w:pStyle w:val="Compact"/>
        <w:numPr>
          <w:ilvl w:val="0"/>
          <w:numId w:val="1010"/>
        </w:numPr>
      </w:pPr>
      <w:r>
        <w:t xml:space="preserve">tradeoffs</w:t>
      </w:r>
    </w:p>
    <w:p>
      <w:pPr>
        <w:pStyle w:val="Compact"/>
        <w:numPr>
          <w:ilvl w:val="0"/>
          <w:numId w:val="1010"/>
        </w:numPr>
      </w:pPr>
      <w:r>
        <w:t xml:space="preserve">risks</w:t>
      </w:r>
    </w:p>
    <w:p>
      <w:pPr>
        <w:pStyle w:val="Compact"/>
        <w:numPr>
          <w:ilvl w:val="0"/>
          <w:numId w:val="1010"/>
        </w:numPr>
      </w:pPr>
      <w:r>
        <w:t xml:space="preserve">operational notes</w:t>
      </w:r>
    </w:p>
    <w:p>
      <w:pPr>
        <w:pStyle w:val="Compact"/>
        <w:numPr>
          <w:ilvl w:val="0"/>
          <w:numId w:val="1010"/>
        </w:numPr>
      </w:pPr>
      <w:r>
        <w:t xml:space="preserve">remaining assumptions</w:t>
      </w:r>
    </w:p>
    <w:p>
      <w:pPr>
        <w:pStyle w:val="Compact"/>
        <w:numPr>
          <w:ilvl w:val="0"/>
          <w:numId w:val="1010"/>
        </w:numPr>
      </w:pPr>
      <w:r>
        <w:t xml:space="preserve">reviewer questions answered</w:t>
      </w:r>
    </w:p>
    <w:p>
      <w:pPr>
        <w:pStyle w:val="FirstParagraph"/>
      </w:pPr>
      <w:r>
        <w:t xml:space="preserve">Full Phase 4 deliverables:</w:t>
      </w:r>
    </w:p>
    <w:p>
      <w:pPr>
        <w:pStyle w:val="Compact"/>
        <w:numPr>
          <w:ilvl w:val="0"/>
          <w:numId w:val="1011"/>
        </w:numPr>
      </w:pPr>
      <w:r>
        <w:t xml:space="preserve">Public portfolio update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homelab-architecture-whitepaper.md</w:t>
      </w:r>
    </w:p>
    <w:p>
      <w:pPr>
        <w:pStyle w:val="Compact"/>
        <w:numPr>
          <w:ilvl w:val="0"/>
          <w:numId w:val="1011"/>
        </w:numPr>
      </w:pPr>
      <w:r>
        <w:t xml:space="preserve">At least 12 postmortems total across the year</w:t>
      </w:r>
    </w:p>
    <w:p>
      <w:pPr>
        <w:pStyle w:val="Compact"/>
        <w:numPr>
          <w:ilvl w:val="0"/>
          <w:numId w:val="1011"/>
        </w:numPr>
      </w:pPr>
      <w:r>
        <w:t xml:space="preserve">At least 20 lab reports total across the year</w:t>
      </w:r>
    </w:p>
    <w:p>
      <w:pPr>
        <w:pStyle w:val="Compact"/>
        <w:numPr>
          <w:ilvl w:val="0"/>
          <w:numId w:val="1011"/>
        </w:numPr>
      </w:pPr>
      <w:r>
        <w:t xml:space="preserve">At least 12 ADRs total across the year</w:t>
      </w:r>
    </w:p>
    <w:p>
      <w:pPr>
        <w:pStyle w:val="Compact"/>
        <w:numPr>
          <w:ilvl w:val="0"/>
          <w:numId w:val="1011"/>
        </w:numPr>
      </w:pPr>
      <w:r>
        <w:t xml:space="preserve">One polished case study</w:t>
      </w:r>
    </w:p>
    <w:p>
      <w:pPr>
        <w:pStyle w:val="Compact"/>
        <w:numPr>
          <w:ilvl w:val="0"/>
          <w:numId w:val="1011"/>
        </w:numPr>
      </w:pPr>
      <w:r>
        <w:t xml:space="preserve">AWS SAA attempt only if Q1-Q3 gates are satisfied</w:t>
      </w:r>
    </w:p>
    <w:p>
      <w:pPr>
        <w:pStyle w:val="FirstParagraph"/>
      </w:pPr>
      <w:r>
        <w:t xml:space="preserve">Reduced school-heavy deliverables:</w:t>
      </w:r>
    </w:p>
    <w:p>
      <w:pPr>
        <w:pStyle w:val="Compact"/>
        <w:numPr>
          <w:ilvl w:val="0"/>
          <w:numId w:val="1012"/>
        </w:numPr>
      </w:pPr>
      <w:r>
        <w:t xml:space="preserve">Finish school deliverables with formal diagrams and terminology</w:t>
      </w:r>
    </w:p>
    <w:p>
      <w:pPr>
        <w:pStyle w:val="Compact"/>
        <w:numPr>
          <w:ilvl w:val="0"/>
          <w:numId w:val="1012"/>
        </w:numPr>
      </w:pPr>
      <w:r>
        <w:t xml:space="preserve">Complete one polished public case study, not three</w:t>
      </w:r>
    </w:p>
    <w:p>
      <w:pPr>
        <w:pStyle w:val="Compact"/>
        <w:numPr>
          <w:ilvl w:val="0"/>
          <w:numId w:val="1012"/>
        </w:numPr>
      </w:pPr>
      <w:r>
        <w:t xml:space="preserve">Bring yearly evidence to at least 8 postmortems, 12 lab reports, 8 ADRs</w:t>
      </w:r>
    </w:p>
    <w:p>
      <w:pPr>
        <w:pStyle w:val="Compact"/>
        <w:numPr>
          <w:ilvl w:val="0"/>
          <w:numId w:val="1012"/>
        </w:numPr>
      </w:pPr>
      <w:r>
        <w:t xml:space="preserve">Update only top 3 repos, not top 5</w:t>
      </w:r>
    </w:p>
    <w:p>
      <w:pPr>
        <w:pStyle w:val="Compact"/>
        <w:numPr>
          <w:ilvl w:val="0"/>
          <w:numId w:val="1012"/>
        </w:numPr>
      </w:pPr>
      <w:r>
        <w:t xml:space="preserve">Finish CCNA or CKA before AWS SAA if either is unfinished</w:t>
      </w:r>
    </w:p>
    <w:p>
      <w:pPr>
        <w:pStyle w:val="Compact"/>
        <w:numPr>
          <w:ilvl w:val="0"/>
          <w:numId w:val="1012"/>
        </w:numPr>
      </w:pPr>
      <w:r>
        <w:t xml:space="preserve">AWS SAA may enter active study only after the last major school deadline</w:t>
      </w:r>
    </w:p>
    <w:bookmarkEnd w:id="21"/>
    <w:bookmarkStart w:id="26" w:name="failure-scenarios-to-trigger-or-analyze"/>
    <w:p>
      <w:pPr>
        <w:pStyle w:val="Heading2"/>
      </w:pPr>
      <w:r>
        <w:t xml:space="preserve">7. Failure Scenarios To Trigger Or Analyze</w:t>
      </w:r>
    </w:p>
    <w:bookmarkStart w:id="22" w:name="q4-fi-01-full-request-path-failure"/>
    <w:p>
      <w:pPr>
        <w:pStyle w:val="Heading3"/>
      </w:pPr>
      <w:r>
        <w:t xml:space="preserve">Q4-FI-01: Full Request Path Failure</w:t>
      </w:r>
    </w:p>
    <w:p>
      <w:pPr>
        <w:pStyle w:val="FirstParagraph"/>
      </w:pPr>
      <w:r>
        <w:t xml:space="preserve">Introduce one failure in each layer across separate test runs: DNS, ingress/reverse proxy, service routing, backend config, queue, database, object storage. Measure user-facing error, logs, metrics, packet path, and restore steps. Document blast radius and detection path.</w:t>
      </w:r>
    </w:p>
    <w:bookmarkEnd w:id="22"/>
    <w:bookmarkStart w:id="23" w:name="q4-fi-02-capacity-pressure"/>
    <w:p>
      <w:pPr>
        <w:pStyle w:val="Heading3"/>
      </w:pPr>
      <w:r>
        <w:t xml:space="preserve">Q4-FI-02: Capacity Pressure</w:t>
      </w:r>
    </w:p>
    <w:p>
      <w:pPr>
        <w:pStyle w:val="FirstParagraph"/>
      </w:pPr>
      <w:r>
        <w:t xml:space="preserve">Generate controlled load until one bottleneck appears. Measure CPU, memory, disk I/O, database latency, queue depth, and application latency. Explain utilization, saturation, and capacity limit. Do not spend the semester building a load-testing platform.</w:t>
      </w:r>
    </w:p>
    <w:bookmarkEnd w:id="23"/>
    <w:bookmarkStart w:id="24" w:name="q4-fi-03-access-control-regression"/>
    <w:p>
      <w:pPr>
        <w:pStyle w:val="Heading3"/>
      </w:pPr>
      <w:r>
        <w:t xml:space="preserve">Q4-FI-03: Access Control Regression</w:t>
      </w:r>
    </w:p>
    <w:p>
      <w:pPr>
        <w:pStyle w:val="FirstParagraph"/>
      </w:pPr>
      <w:r>
        <w:t xml:space="preserve">Over-permit a non-admin identity in a test ACL/RBAC policy. Measure what becomes reachable, logs, and policy diff. Restore least privilege and add verification checklist.</w:t>
      </w:r>
    </w:p>
    <w:bookmarkEnd w:id="24"/>
    <w:bookmarkStart w:id="25" w:name="q4-fi-04-restore-under-pressure"/>
    <w:p>
      <w:pPr>
        <w:pStyle w:val="Heading3"/>
      </w:pPr>
      <w:r>
        <w:t xml:space="preserve">Q4-FI-04: Restore Under Pressure</w:t>
      </w:r>
    </w:p>
    <w:p>
      <w:pPr>
        <w:pStyle w:val="FirstParagraph"/>
      </w:pPr>
      <w:r>
        <w:t xml:space="preserve">Restore one service or dataset from documented runbook. Measure time to detect, time to restore, missing steps, and data consistency. Update runbook.</w:t>
      </w:r>
    </w:p>
    <w:bookmarkEnd w:id="25"/>
    <w:bookmarkEnd w:id="26"/>
    <w:bookmarkStart w:id="27" w:name="review-checklist"/>
    <w:p>
      <w:pPr>
        <w:pStyle w:val="Heading2"/>
      </w:pPr>
      <w:r>
        <w:t xml:space="preserve">8. Review Checklist</w:t>
      </w:r>
    </w:p>
    <w:p>
      <w:pPr>
        <w:pStyle w:val="Compact"/>
        <w:numPr>
          <w:ilvl w:val="0"/>
          <w:numId w:val="1013"/>
        </w:numPr>
      </w:pPr>
      <w:r>
        <w:t xml:space="preserve">Can a reviewer follow evidence from claim to file/path/log/diagram?</w:t>
      </w:r>
    </w:p>
    <w:p>
      <w:pPr>
        <w:pStyle w:val="Compact"/>
        <w:numPr>
          <w:ilvl w:val="0"/>
          <w:numId w:val="1013"/>
        </w:numPr>
      </w:pPr>
      <w:r>
        <w:t xml:space="preserve">Does each case study include architecture, tradeoffs, failure, metric, root cause, fix, and remaining risk?</w:t>
      </w:r>
    </w:p>
    <w:p>
      <w:pPr>
        <w:pStyle w:val="Compact"/>
        <w:numPr>
          <w:ilvl w:val="0"/>
          <w:numId w:val="1013"/>
        </w:numPr>
      </w:pPr>
      <w:r>
        <w:t xml:space="preserve">Are tool names secondary to system behavior?</w:t>
      </w:r>
    </w:p>
    <w:p>
      <w:pPr>
        <w:pStyle w:val="Compact"/>
        <w:numPr>
          <w:ilvl w:val="0"/>
          <w:numId w:val="1013"/>
        </w:numPr>
      </w:pPr>
      <w:r>
        <w:t xml:space="preserve">Are postmortems honest about what was not proven?</w:t>
      </w:r>
    </w:p>
    <w:p>
      <w:pPr>
        <w:pStyle w:val="Compact"/>
        <w:numPr>
          <w:ilvl w:val="0"/>
          <w:numId w:val="1013"/>
        </w:numPr>
      </w:pPr>
      <w:r>
        <w:t xml:space="preserve">Are ADRs tied to real decisions, not invented ceremony?</w:t>
      </w:r>
    </w:p>
    <w:p>
      <w:pPr>
        <w:pStyle w:val="Compact"/>
        <w:numPr>
          <w:ilvl w:val="0"/>
          <w:numId w:val="1013"/>
        </w:numPr>
      </w:pPr>
      <w:r>
        <w:t xml:space="preserve">Does cloud mapping depend on local proof first?</w:t>
      </w:r>
    </w:p>
    <w:p>
      <w:pPr>
        <w:pStyle w:val="Compact"/>
        <w:numPr>
          <w:ilvl w:val="0"/>
          <w:numId w:val="1013"/>
        </w:numPr>
      </w:pPr>
      <w:r>
        <w:t xml:space="preserve">Does GitHub/profile wording avoid claims that are not backed by artifacts?</w:t>
      </w:r>
    </w:p>
    <w:bookmarkEnd w:id="27"/>
    <w:bookmarkStart w:id="28" w:name="portfolio-artifact"/>
    <w:p>
      <w:pPr>
        <w:pStyle w:val="Heading2"/>
      </w:pPr>
      <w:r>
        <w:t xml:space="preserve">9. Portfolio Artifact</w:t>
      </w:r>
    </w:p>
    <w:p>
      <w:pPr>
        <w:pStyle w:val="FirstParagraph"/>
      </w:pPr>
      <w:r>
        <w:t xml:space="preserve">Create or polish these concrete outputs:</w:t>
      </w:r>
    </w:p>
    <w:p>
      <w:pPr>
        <w:pStyle w:val="Compact"/>
        <w:numPr>
          <w:ilvl w:val="0"/>
          <w:numId w:val="1014"/>
        </w:numPr>
      </w:pPr>
      <w:r>
        <w:t xml:space="preserve">hybrid homelab architecture case study</w:t>
      </w:r>
    </w:p>
    <w:p>
      <w:pPr>
        <w:pStyle w:val="Compact"/>
        <w:numPr>
          <w:ilvl w:val="0"/>
          <w:numId w:val="1014"/>
        </w:numPr>
      </w:pPr>
      <w:r>
        <w:t xml:space="preserve">secure deployment or defense-in-depth case study</w:t>
      </w:r>
    </w:p>
    <w:p>
      <w:pPr>
        <w:pStyle w:val="Compact"/>
        <w:numPr>
          <w:ilvl w:val="0"/>
          <w:numId w:val="1014"/>
        </w:numPr>
      </w:pPr>
      <w:r>
        <w:t xml:space="preserve">one incident/postmortem write-up</w:t>
      </w:r>
    </w:p>
    <w:p>
      <w:pPr>
        <w:pStyle w:val="Compact"/>
        <w:numPr>
          <w:ilvl w:val="0"/>
          <w:numId w:val="1014"/>
        </w:numPr>
      </w:pPr>
      <w:r>
        <w:t xml:space="preserve">ADR collection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homelab-to-cloud-mapping.md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homelab-architecture-whitepaper.md</w:t>
      </w:r>
    </w:p>
    <w:p>
      <w:pPr>
        <w:pStyle w:val="Compact"/>
        <w:numPr>
          <w:ilvl w:val="0"/>
          <w:numId w:val="1014"/>
        </w:numPr>
      </w:pPr>
      <w:r>
        <w:t xml:space="preserve">GitHub profile/repo README updates backed by evidence</w:t>
      </w:r>
    </w:p>
    <w:bookmarkEnd w:id="28"/>
    <w:bookmarkStart w:id="29" w:name="exit-criteria"/>
    <w:p>
      <w:pPr>
        <w:pStyle w:val="Heading2"/>
      </w:pPr>
      <w:r>
        <w:t xml:space="preserve">10. Exit Criteria</w:t>
      </w:r>
    </w:p>
    <w:p>
      <w:pPr>
        <w:pStyle w:val="FirstParagraph"/>
      </w:pPr>
      <w:r>
        <w:t xml:space="preserve">Phase 4 is complete when the portfolio can support a senior panel discussion without relying on tool names. The answer must show:</w:t>
      </w:r>
    </w:p>
    <w:p>
      <w:pPr>
        <w:pStyle w:val="Compact"/>
        <w:numPr>
          <w:ilvl w:val="0"/>
          <w:numId w:val="1015"/>
        </w:numPr>
      </w:pPr>
      <w:r>
        <w:t xml:space="preserve">architecture</w:t>
      </w:r>
    </w:p>
    <w:p>
      <w:pPr>
        <w:pStyle w:val="Compact"/>
        <w:numPr>
          <w:ilvl w:val="0"/>
          <w:numId w:val="1015"/>
        </w:numPr>
      </w:pPr>
      <w:r>
        <w:t xml:space="preserve">tradeoffs</w:t>
      </w:r>
    </w:p>
    <w:p>
      <w:pPr>
        <w:pStyle w:val="Compact"/>
        <w:numPr>
          <w:ilvl w:val="0"/>
          <w:numId w:val="1015"/>
        </w:numPr>
      </w:pPr>
      <w:r>
        <w:t xml:space="preserve">packet/request path</w:t>
      </w:r>
    </w:p>
    <w:p>
      <w:pPr>
        <w:pStyle w:val="Compact"/>
        <w:numPr>
          <w:ilvl w:val="0"/>
          <w:numId w:val="1015"/>
        </w:numPr>
      </w:pPr>
      <w:r>
        <w:t xml:space="preserve">trust boundary</w:t>
      </w:r>
    </w:p>
    <w:p>
      <w:pPr>
        <w:pStyle w:val="Compact"/>
        <w:numPr>
          <w:ilvl w:val="0"/>
          <w:numId w:val="1015"/>
        </w:numPr>
      </w:pPr>
      <w:r>
        <w:t xml:space="preserve">injected or analyzed failure</w:t>
      </w:r>
    </w:p>
    <w:p>
      <w:pPr>
        <w:pStyle w:val="Compact"/>
        <w:numPr>
          <w:ilvl w:val="0"/>
          <w:numId w:val="1015"/>
        </w:numPr>
      </w:pPr>
      <w:r>
        <w:t xml:space="preserve">metric/log/packet evidence</w:t>
      </w:r>
    </w:p>
    <w:p>
      <w:pPr>
        <w:pStyle w:val="Compact"/>
        <w:numPr>
          <w:ilvl w:val="0"/>
          <w:numId w:val="1015"/>
        </w:numPr>
      </w:pPr>
      <w:r>
        <w:t xml:space="preserve">root cause</w:t>
      </w:r>
    </w:p>
    <w:p>
      <w:pPr>
        <w:pStyle w:val="Compact"/>
        <w:numPr>
          <w:ilvl w:val="0"/>
          <w:numId w:val="1015"/>
        </w:numPr>
      </w:pPr>
      <w:r>
        <w:t xml:space="preserve">fix</w:t>
      </w:r>
    </w:p>
    <w:p>
      <w:pPr>
        <w:pStyle w:val="Compact"/>
        <w:numPr>
          <w:ilvl w:val="0"/>
          <w:numId w:val="1015"/>
        </w:numPr>
      </w:pPr>
      <w:r>
        <w:t xml:space="preserve">formal concept</w:t>
      </w:r>
    </w:p>
    <w:p>
      <w:pPr>
        <w:pStyle w:val="Compact"/>
        <w:numPr>
          <w:ilvl w:val="0"/>
          <w:numId w:val="1015"/>
        </w:numPr>
      </w:pPr>
      <w:r>
        <w:t xml:space="preserve">remaining risk</w:t>
      </w:r>
    </w:p>
    <w:p>
      <w:pPr>
        <w:pStyle w:val="FirstParagraph"/>
      </w:pPr>
      <w:r>
        <w:t xml:space="preserve">AWS SAA starts only if:</w:t>
      </w:r>
    </w:p>
    <w:p>
      <w:pPr>
        <w:pStyle w:val="Compact"/>
        <w:numPr>
          <w:ilvl w:val="0"/>
          <w:numId w:val="1016"/>
        </w:numPr>
      </w:pPr>
      <w:r>
        <w:t xml:space="preserve">CCNA is passed</w:t>
      </w:r>
    </w:p>
    <w:p>
      <w:pPr>
        <w:pStyle w:val="Compact"/>
        <w:numPr>
          <w:ilvl w:val="0"/>
          <w:numId w:val="1016"/>
        </w:numPr>
      </w:pPr>
      <w:r>
        <w:t xml:space="preserve">CKA is passed, not merely planned</w:t>
      </w:r>
    </w:p>
    <w:p>
      <w:pPr>
        <w:pStyle w:val="Compact"/>
        <w:numPr>
          <w:ilvl w:val="0"/>
          <w:numId w:val="1016"/>
        </w:numPr>
      </w:pPr>
      <w:r>
        <w:t xml:space="preserve">Q1-Q3 deliverables exist</w:t>
      </w:r>
    </w:p>
    <w:p>
      <w:pPr>
        <w:pStyle w:val="Compact"/>
        <w:numPr>
          <w:ilvl w:val="0"/>
          <w:numId w:val="1016"/>
        </w:numPr>
      </w:pPr>
      <w:r>
        <w:t xml:space="preserve">August-December school load is stable and no course is at risk</w:t>
      </w:r>
    </w:p>
    <w:p>
      <w:pPr>
        <w:pStyle w:val="Compact"/>
        <w:numPr>
          <w:ilvl w:val="0"/>
          <w:numId w:val="1016"/>
        </w:numPr>
      </w:pPr>
      <w:r>
        <w:t xml:space="preserve">homelab concepts can be mapped to AWS without hand-waving</w:t>
      </w:r>
    </w:p>
    <w:bookmarkEnd w:id="29"/>
    <w:bookmarkStart w:id="30" w:name="anti-tool-sprawl-guardrails"/>
    <w:p>
      <w:pPr>
        <w:pStyle w:val="Heading2"/>
      </w:pPr>
      <w:r>
        <w:t xml:space="preserve">11. Anti-Tool-Sprawl Guardrails</w:t>
      </w:r>
    </w:p>
    <w:p>
      <w:pPr>
        <w:pStyle w:val="Compact"/>
        <w:numPr>
          <w:ilvl w:val="0"/>
          <w:numId w:val="1017"/>
        </w:numPr>
      </w:pPr>
      <w:r>
        <w:t xml:space="preserve">Q4 is consolidation first, expansion second.</w:t>
      </w:r>
    </w:p>
    <w:p>
      <w:pPr>
        <w:pStyle w:val="Compact"/>
        <w:numPr>
          <w:ilvl w:val="0"/>
          <w:numId w:val="1017"/>
        </w:numPr>
      </w:pPr>
      <w:r>
        <w:t xml:space="preserve">Do not add AWS work to compensate for weak local fundamentals.</w:t>
      </w:r>
    </w:p>
    <w:p>
      <w:pPr>
        <w:pStyle w:val="Compact"/>
        <w:numPr>
          <w:ilvl w:val="0"/>
          <w:numId w:val="1017"/>
        </w:numPr>
      </w:pPr>
      <w:r>
        <w:t xml:space="preserve">Do not polish portfolio at the cost of final exams.</w:t>
      </w:r>
    </w:p>
    <w:p>
      <w:pPr>
        <w:pStyle w:val="Compact"/>
        <w:numPr>
          <w:ilvl w:val="0"/>
          <w:numId w:val="1017"/>
        </w:numPr>
      </w:pPr>
      <w:r>
        <w:t xml:space="preserve">Do not add new observability or SIEM tooling just to look production-like; use existing evidence unless a specific gap is documented by ADR.</w:t>
      </w:r>
    </w:p>
    <w:p>
      <w:pPr>
        <w:pStyle w:val="Compact"/>
        <w:numPr>
          <w:ilvl w:val="0"/>
          <w:numId w:val="1017"/>
        </w:numPr>
      </w:pPr>
      <w:r>
        <w:t xml:space="preserve">One case study that survives senior review beats many shallow repo updates.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2026-05-31T10:08:05Z</dcterms:created>
  <dcterms:modified xsi:type="dcterms:W3CDTF">2026-05-31T10:08:05Z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