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Cloud Inc. — FY2024 Annual &amp; Quarterly Financial Report</w:t>
      </w:r>
    </w:p>
    <w:p>
      <w:pPr>
        <w:pStyle w:val="Heading1"/>
      </w:pPr>
      <w:r>
        <w:t>1. Business Overview</w:t>
      </w:r>
    </w:p>
    <w:p>
      <w:r>
        <w:t>Nimbus Cloud Inc. is a SaaS company providing cloud infrastructure, data analytics, and AI services. FY2024 was a strong year driven by enterprise demand and AI product adoption.</w:t>
      </w:r>
    </w:p>
    <w:p>
      <w:pPr>
        <w:pStyle w:val="Heading1"/>
      </w:pPr>
      <w:r>
        <w:t>2. Quarterly Performance (USD millions)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Quarter</w:t>
            </w:r>
          </w:p>
        </w:tc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Gross Profit</w:t>
            </w:r>
          </w:p>
        </w:tc>
        <w:tc>
          <w:tcPr>
            <w:tcW w:type="dxa" w:w="1728"/>
          </w:tcPr>
          <w:p>
            <w:r>
              <w:t>Operating Income</w:t>
            </w:r>
          </w:p>
        </w:tc>
        <w:tc>
          <w:tcPr>
            <w:tcW w:type="dxa" w:w="1728"/>
          </w:tcPr>
          <w:p>
            <w:r>
              <w:t>Net Income</w:t>
            </w:r>
          </w:p>
        </w:tc>
      </w:tr>
      <w:tr>
        <w:tc>
          <w:tcPr>
            <w:tcW w:type="dxa" w:w="1728"/>
          </w:tcPr>
          <w:p>
            <w:r>
              <w:t>Q1 2024</w:t>
            </w:r>
          </w:p>
        </w:tc>
        <w:tc>
          <w:tcPr>
            <w:tcW w:type="dxa" w:w="1728"/>
          </w:tcPr>
          <w:p>
            <w:r>
              <w:t>820</w:t>
            </w:r>
          </w:p>
        </w:tc>
        <w:tc>
          <w:tcPr>
            <w:tcW w:type="dxa" w:w="1728"/>
          </w:tcPr>
          <w:p>
            <w:r>
              <w:t>492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140</w:t>
            </w:r>
          </w:p>
        </w:tc>
      </w:tr>
      <w:tr>
        <w:tc>
          <w:tcPr>
            <w:tcW w:type="dxa" w:w="1728"/>
          </w:tcPr>
          <w:p>
            <w:r>
              <w:t>Q2 2024</w:t>
            </w:r>
          </w:p>
        </w:tc>
        <w:tc>
          <w:tcPr>
            <w:tcW w:type="dxa" w:w="1728"/>
          </w:tcPr>
          <w:p>
            <w:r>
              <w:t>910</w:t>
            </w:r>
          </w:p>
        </w:tc>
        <w:tc>
          <w:tcPr>
            <w:tcW w:type="dxa" w:w="1728"/>
          </w:tcPr>
          <w:p>
            <w:r>
              <w:t>555</w:t>
            </w:r>
          </w:p>
        </w:tc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168</w:t>
            </w:r>
          </w:p>
        </w:tc>
      </w:tr>
      <w:tr>
        <w:tc>
          <w:tcPr>
            <w:tcW w:type="dxa" w:w="1728"/>
          </w:tcPr>
          <w:p>
            <w:r>
              <w:t>Q3 2024</w:t>
            </w:r>
          </w:p>
        </w:tc>
        <w:tc>
          <w:tcPr>
            <w:tcW w:type="dxa" w:w="1728"/>
          </w:tcPr>
          <w:p>
            <w:r>
              <w:t>1015</w:t>
            </w:r>
          </w:p>
        </w:tc>
        <w:tc>
          <w:tcPr>
            <w:tcW w:type="dxa" w:w="1728"/>
          </w:tcPr>
          <w:p>
            <w:r>
              <w:t>630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205</w:t>
            </w:r>
          </w:p>
        </w:tc>
      </w:tr>
      <w:tr>
        <w:tc>
          <w:tcPr>
            <w:tcW w:type="dxa" w:w="1728"/>
          </w:tcPr>
          <w:p>
            <w:r>
              <w:t>Q4 2024</w:t>
            </w:r>
          </w:p>
        </w:tc>
        <w:tc>
          <w:tcPr>
            <w:tcW w:type="dxa" w:w="1728"/>
          </w:tcPr>
          <w:p>
            <w:r>
              <w:t>1180</w:t>
            </w:r>
          </w:p>
        </w:tc>
        <w:tc>
          <w:tcPr>
            <w:tcW w:type="dxa" w:w="1728"/>
          </w:tcPr>
          <w:p>
            <w:r>
              <w:t>744</w:t>
            </w:r>
          </w:p>
        </w:tc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262</w:t>
            </w:r>
          </w:p>
        </w:tc>
      </w:tr>
    </w:tbl>
    <w:p>
      <w:r>
        <w:t>Full-year FY2024 revenue was $3,925 million, up 24% year over year. Gross margin improved from 58% in Q1 to 63% in Q4. Net income for the year was $775 million.</w:t>
      </w:r>
    </w:p>
    <w:p>
      <w:pPr>
        <w:pStyle w:val="Heading1"/>
      </w:pPr>
      <w:r>
        <w:t>3. Revenue by Segment — FY2024 (USD millions)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Share</w:t>
            </w:r>
          </w:p>
        </w:tc>
      </w:tr>
      <w:tr>
        <w:tc>
          <w:tcPr>
            <w:tcW w:type="dxa" w:w="2880"/>
          </w:tcPr>
          <w:p>
            <w:r>
              <w:t>Cloud Infrastructure</w:t>
            </w:r>
          </w:p>
        </w:tc>
        <w:tc>
          <w:tcPr>
            <w:tcW w:type="dxa" w:w="2880"/>
          </w:tcPr>
          <w:p>
            <w:r>
              <w:t>1,950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Data Analytics</w:t>
            </w:r>
          </w:p>
        </w:tc>
        <w:tc>
          <w:tcPr>
            <w:tcW w:type="dxa" w:w="2880"/>
          </w:tcPr>
          <w:p>
            <w:r>
              <w:t>1,100</w:t>
            </w:r>
          </w:p>
        </w:tc>
        <w:tc>
          <w:tcPr>
            <w:tcW w:type="dxa" w:w="2880"/>
          </w:tcPr>
          <w:p>
            <w:r>
              <w:t>28%</w:t>
            </w:r>
          </w:p>
        </w:tc>
      </w:tr>
      <w:tr>
        <w:tc>
          <w:tcPr>
            <w:tcW w:type="dxa" w:w="2880"/>
          </w:tcPr>
          <w:p>
            <w:r>
              <w:t>AI Services</w:t>
            </w:r>
          </w:p>
        </w:tc>
        <w:tc>
          <w:tcPr>
            <w:tcW w:type="dxa" w:w="2880"/>
          </w:tcPr>
          <w:p>
            <w:r>
              <w:t>875</w:t>
            </w:r>
          </w:p>
        </w:tc>
        <w:tc>
          <w:tcPr>
            <w:tcW w:type="dxa" w:w="2880"/>
          </w:tcPr>
          <w:p>
            <w:r>
              <w:t>22%</w:t>
            </w:r>
          </w:p>
        </w:tc>
      </w:tr>
    </w:tbl>
    <w:p>
      <w:pPr>
        <w:pStyle w:val="Heading1"/>
      </w:pPr>
      <w:r>
        <w:t>4. Balance Sheet Highlights (year end, USD millions)</w:t>
      </w:r>
    </w:p>
    <w:p>
      <w:r>
        <w:t>Cash and cash equivalents: $4,250. Total debt: $1,500. Total assets: $9,800. Shareholders equity: $6,100.</w:t>
      </w:r>
    </w:p>
    <w:p>
      <w:pPr>
        <w:pStyle w:val="Heading1"/>
      </w:pPr>
      <w:r>
        <w:t>5. Guidance &amp; Risks</w:t>
      </w:r>
    </w:p>
    <w:p>
      <w:r>
        <w:t>Management expects FY2025 revenue growth of approximately 22%, with gross margin in the 62-64% range. Key risks include cloud price competition, FX volatility, and execution of the AI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