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BetaCorp — Q4 2024 Financial Report</w:t>
      </w:r>
    </w:p>
    <w:p>
      <w:pPr>
        <w:pStyle w:val="Heading1"/>
      </w:pPr>
      <w:r>
        <w:t>Income Statement</w:t>
      </w:r>
    </w:p>
    <w:p>
      <w:r>
        <w:t>Net revenue for Q4 2024 was $2,480 million, up 22% year over year, led by the enterprise software segment.</w:t>
      </w:r>
    </w:p>
    <w:p>
      <w:r>
        <w:t>Gross profit was $1,290 million, with gross margin expanding to 52% from 48% a year earlier.</w:t>
      </w:r>
    </w:p>
    <w:p>
      <w:r>
        <w:t>Operating income was $610 million; net income was $465 million, or $2.10 per diluted share.</w:t>
      </w:r>
    </w:p>
    <w:p>
      <w:pPr>
        <w:pStyle w:val="Heading1"/>
      </w:pPr>
      <w:r>
        <w:t>Balance Sheet</w:t>
      </w:r>
    </w:p>
    <w:p>
      <w:r>
        <w:t>Cash and cash equivalents totaled $3,900 million at year end. Total debt was $1,200 million.</w:t>
      </w:r>
    </w:p>
    <w:p>
      <w:r>
        <w:t>Management guides full-year 2025 revenue growth of approximately 20% with stable margins.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