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C3E3"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【０００１】</w:t>
      </w:r>
    </w:p>
    <w:p w14:paraId="3AB2D8D2"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本発明は、施工面が長大な垂直状の外壁面、水平状の陸屋根面、傾斜状の屋根等の施工において、支持材を、適宜長さに加工して好適に利用することができる支持材の接続構造に関する。</w:t>
      </w:r>
    </w:p>
    <w:p w14:paraId="7A34C5C7" w14:textId="77777777" w:rsidR="00D81A9B" w:rsidRDefault="00755A64">
      <w:pPr>
        <w:pStyle w:val="a"/>
        <w:adjustRightInd/>
        <w:spacing w:line="268" w:lineRule="exact"/>
        <w:rPr>
          <w:rFonts w:hAnsi="Times New Roman" w:cs="Times New Roman"/>
          <w:lang w:eastAsia="ja-JP"/>
        </w:rPr>
      </w:pPr>
      <w:r>
        <w:rPr>
          <w:rFonts w:hint="eastAsia"/>
          <w:lang w:eastAsia="ja-JP"/>
        </w:rPr>
        <w:t>【背景技術】</w:t>
      </w:r>
    </w:p>
    <w:p w14:paraId="55946D29"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【０００２】</w:t>
      </w:r>
    </w:p>
    <w:p w14:paraId="3A2CA020"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従来、屋根構造の梁の端部を直線的に連結する構造としては、例えば特許文献１～３に示される構造が知られている。</w:t>
      </w:r>
    </w:p>
    <w:p w14:paraId="5D07CA7C"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特許文献１には、Ｉ形鋼の上フランジ上にて、突き合わせ状に配設したＣ型鋼に跨がるようにＺ型鋼を固定することで、二つのＣ型鋼を直線状に連結した構造が記載されている。</w:t>
      </w:r>
    </w:p>
    <w:p w14:paraId="0EEFCF3E"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特許文献２には、Ｉ形鋼の上フランジ上にて、突き合わせ状に配設した構造部材（アングル材）に跨がるように接合部材として角柱材やＣ形鋼を固定する構造が記載されている。</w:t>
      </w:r>
    </w:p>
    <w:p w14:paraId="20EE28FC"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特許文献３には、突き合わせ状に配設したＣ型鋼（支持桁材）に跨がるように、そのウェブ部の内側にジョイント板（アングル材）を配設した構造が記載されている。</w:t>
      </w:r>
    </w:p>
    <w:p w14:paraId="6BA70C82" w14:textId="77777777" w:rsidR="00D81A9B" w:rsidRDefault="00755A64">
      <w:pPr>
        <w:pStyle w:val="a"/>
        <w:adjustRightInd/>
        <w:spacing w:line="268" w:lineRule="exact"/>
        <w:rPr>
          <w:rFonts w:hAnsi="Times New Roman" w:cs="Times New Roman"/>
        </w:rPr>
      </w:pPr>
      <w:r>
        <w:rPr>
          <w:rFonts w:hint="eastAsia"/>
        </w:rPr>
        <w:t>【</w:t>
      </w:r>
      <w:proofErr w:type="spellStart"/>
      <w:r>
        <w:rPr>
          <w:rFonts w:hint="eastAsia"/>
        </w:rPr>
        <w:t>先行技術文献</w:t>
      </w:r>
      <w:proofErr w:type="spellEnd"/>
      <w:r>
        <w:rPr>
          <w:rFonts w:hint="eastAsia"/>
        </w:rPr>
        <w:t>】</w:t>
      </w:r>
    </w:p>
    <w:p w14:paraId="0297C394" w14:textId="77777777" w:rsidR="00D81A9B" w:rsidRDefault="00755A64">
      <w:pPr>
        <w:pStyle w:val="a"/>
        <w:adjustRightInd/>
        <w:spacing w:line="268" w:lineRule="exact"/>
        <w:rPr>
          <w:rFonts w:hAnsi="Times New Roman" w:cs="Times New Roman"/>
        </w:rPr>
      </w:pPr>
      <w:r>
        <w:rPr>
          <w:rFonts w:hint="eastAsia"/>
        </w:rPr>
        <w:t>【</w:t>
      </w:r>
      <w:proofErr w:type="spellStart"/>
      <w:r>
        <w:rPr>
          <w:rFonts w:hint="eastAsia"/>
        </w:rPr>
        <w:t>特許文献</w:t>
      </w:r>
      <w:proofErr w:type="spellEnd"/>
      <w:r>
        <w:rPr>
          <w:rFonts w:hint="eastAsia"/>
        </w:rPr>
        <w:t>】</w:t>
      </w:r>
    </w:p>
    <w:p w14:paraId="1336AB0F" w14:textId="77777777" w:rsidR="00D81A9B" w:rsidRDefault="00755A64">
      <w:pPr>
        <w:pStyle w:val="a"/>
        <w:adjustRightInd/>
        <w:spacing w:line="268" w:lineRule="exact"/>
        <w:rPr>
          <w:rFonts w:hAnsi="Times New Roman" w:cs="Times New Roman"/>
        </w:rPr>
      </w:pPr>
      <w:r>
        <w:rPr>
          <w:rFonts w:hint="eastAsia"/>
        </w:rPr>
        <w:t xml:space="preserve">　【０００３】</w:t>
      </w:r>
    </w:p>
    <w:p w14:paraId="334D0AF6" w14:textId="77777777" w:rsidR="00D81A9B" w:rsidRDefault="00755A64">
      <w:pPr>
        <w:pStyle w:val="a"/>
        <w:adjustRightInd/>
        <w:spacing w:line="268" w:lineRule="exact"/>
        <w:rPr>
          <w:rFonts w:hAnsi="Times New Roman" w:cs="Times New Roman"/>
        </w:rPr>
      </w:pPr>
      <w:r>
        <w:rPr>
          <w:rFonts w:hint="eastAsia"/>
        </w:rPr>
        <w:t xml:space="preserve">　【特許文献１】特開２０２２－１０２４３７号公報</w:t>
      </w:r>
    </w:p>
    <w:p w14:paraId="2DAA45CD" w14:textId="77777777" w:rsidR="00D81A9B" w:rsidRDefault="00755A64">
      <w:pPr>
        <w:pStyle w:val="a"/>
        <w:adjustRightInd/>
        <w:spacing w:line="268" w:lineRule="exact"/>
        <w:rPr>
          <w:rFonts w:hAnsi="Times New Roman" w:cs="Times New Roman"/>
        </w:rPr>
      </w:pPr>
      <w:r>
        <w:rPr>
          <w:rFonts w:hint="eastAsia"/>
        </w:rPr>
        <w:t xml:space="preserve">　【特許文献２】特開２０１７－０１４７３１号公報</w:t>
      </w:r>
    </w:p>
    <w:p w14:paraId="7844996B" w14:textId="77777777" w:rsidR="00D81A9B" w:rsidRDefault="00755A64">
      <w:pPr>
        <w:pStyle w:val="a"/>
        <w:adjustRightInd/>
        <w:spacing w:line="268" w:lineRule="exact"/>
        <w:rPr>
          <w:rFonts w:hAnsi="Times New Roman" w:cs="Times New Roman"/>
        </w:rPr>
      </w:pPr>
      <w:r>
        <w:rPr>
          <w:rFonts w:hint="eastAsia"/>
        </w:rPr>
        <w:t xml:space="preserve">　【特許文献３】特開平０８－２１８５４７号公報</w:t>
      </w:r>
    </w:p>
    <w:p w14:paraId="7ABE96CD" w14:textId="77777777" w:rsidR="00D81A9B" w:rsidRDefault="00755A64">
      <w:pPr>
        <w:pStyle w:val="a"/>
        <w:adjustRightInd/>
        <w:spacing w:line="268" w:lineRule="exact"/>
        <w:rPr>
          <w:rFonts w:hAnsi="Times New Roman" w:cs="Times New Roman"/>
          <w:lang w:eastAsia="ja-JP"/>
        </w:rPr>
      </w:pPr>
      <w:r>
        <w:rPr>
          <w:rFonts w:hint="eastAsia"/>
          <w:lang w:eastAsia="ja-JP"/>
        </w:rPr>
        <w:t>【発明の概要】</w:t>
      </w:r>
    </w:p>
    <w:p w14:paraId="7CAC3D44" w14:textId="77777777" w:rsidR="00D81A9B" w:rsidRDefault="00755A64">
      <w:pPr>
        <w:pStyle w:val="a"/>
        <w:adjustRightInd/>
        <w:spacing w:line="268" w:lineRule="exact"/>
        <w:rPr>
          <w:rFonts w:hAnsi="Times New Roman" w:cs="Times New Roman"/>
          <w:lang w:eastAsia="ja-JP"/>
        </w:rPr>
      </w:pPr>
      <w:r>
        <w:rPr>
          <w:rFonts w:hint="eastAsia"/>
          <w:lang w:eastAsia="ja-JP"/>
        </w:rPr>
        <w:t>【発明が解決しようとする課題】</w:t>
      </w:r>
    </w:p>
    <w:p w14:paraId="76B75136"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【０００４】</w:t>
      </w:r>
    </w:p>
    <w:p w14:paraId="71B37A07"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しかしながら、前記特許文献１，２の構造では、Ｉ形鋼（梁）上での接合のため、構造材を梁間の長さに合わせる（及び倍数）必要があり、製造上、運搬上の制限を受けるものであった。</w:t>
      </w:r>
    </w:p>
    <w:p w14:paraId="0D5D50AA" w14:textId="77777777" w:rsidR="00D81A9B" w:rsidRDefault="00755A64">
      <w:pPr>
        <w:pStyle w:val="a"/>
        <w:adjustRightInd/>
        <w:spacing w:line="268" w:lineRule="exact"/>
        <w:rPr>
          <w:rFonts w:hAnsi="Times New Roman" w:cs="Times New Roman"/>
          <w:lang w:eastAsia="ja-JP"/>
        </w:rPr>
      </w:pPr>
      <w:r>
        <w:rPr>
          <w:rFonts w:hint="eastAsia"/>
          <w:lang w:eastAsia="ja-JP"/>
        </w:rPr>
        <w:t xml:space="preserve">　また、前記特許文献３の構造では、一方の端部を加工するため、製造コスト、また現場での加工（切断）等に制限を受けていた。さらに、予め所定の長さで製造するため製造コストが上昇していた。また、現場で切断する場合、端材は再利用が難しく、コスト上昇を招いていた。</w:t>
      </w:r>
    </w:p>
    <w:p w14:paraId="685A0DAA" w14:textId="41C6EED9" w:rsidR="00413824" w:rsidRDefault="00755A64" w:rsidP="00A90289">
      <w:pPr>
        <w:pStyle w:val="a"/>
        <w:adjustRightInd/>
        <w:spacing w:line="268" w:lineRule="exact"/>
        <w:rPr>
          <w:rFonts w:hAnsi="Times New Roman" w:cs="Times New Roman"/>
          <w:color w:val="auto"/>
          <w:lang w:eastAsia="ja-JP"/>
        </w:rPr>
      </w:pPr>
      <w:r>
        <w:rPr>
          <w:rFonts w:hint="eastAsia"/>
          <w:lang w:eastAsia="ja-JP"/>
        </w:rPr>
        <w:t xml:space="preserve">　</w:t>
      </w:r>
    </w:p>
    <w:p w14:paraId="61CB2BFD" w14:textId="07C5E443" w:rsidR="00D81A9B" w:rsidRDefault="00D81A9B">
      <w:pPr>
        <w:suppressAutoHyphens w:val="0"/>
        <w:kinsoku/>
        <w:wordWrap/>
        <w:overflowPunct/>
        <w:textAlignment w:val="auto"/>
        <w:rPr>
          <w:rFonts w:hAnsi="Times New Roman" w:cs="Times New Roman"/>
          <w:lang w:eastAsia="ja-JP"/>
        </w:rPr>
      </w:pPr>
    </w:p>
    <w:sectPr w:rsidR="00D81A9B">
      <w:footerReference w:type="default" r:id="rId6"/>
      <w:type w:val="continuous"/>
      <w:pgSz w:w="11906" w:h="16838"/>
      <w:pgMar w:top="1700" w:right="1168" w:bottom="1700" w:left="1168" w:header="720" w:footer="720" w:gutter="0"/>
      <w:pgNumType w:start="1"/>
      <w:cols w:space="720"/>
      <w:noEndnote/>
      <w:docGrid w:type="linesAndChars" w:linePitch="26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FB41B" w14:textId="77777777" w:rsidR="00CF1462" w:rsidRDefault="00CF1462">
      <w:r>
        <w:separator/>
      </w:r>
    </w:p>
  </w:endnote>
  <w:endnote w:type="continuationSeparator" w:id="0">
    <w:p w14:paraId="1C809590" w14:textId="77777777" w:rsidR="00CF1462" w:rsidRDefault="00CF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altName w:val="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F3CA" w14:textId="77777777" w:rsidR="00D81A9B" w:rsidRDefault="00755A64">
    <w:pPr>
      <w:pStyle w:val="a"/>
      <w:framePr w:wrap="auto" w:vAnchor="text" w:hAnchor="margin" w:xAlign="center" w:y="1"/>
      <w:adjustRightInd/>
      <w:jc w:val="center"/>
      <w:rPr>
        <w:rFonts w:hAnsi="游明朝" w:cs="Times New Roman"/>
      </w:rPr>
    </w:pPr>
    <w:r>
      <w:t xml:space="preserve">- </w:t>
    </w:r>
    <w:r>
      <w:fldChar w:fldCharType="begin"/>
    </w:r>
    <w:r>
      <w:instrText>page \* MERGEFORMAT</w:instrText>
    </w:r>
    <w:r>
      <w:fldChar w:fldCharType="separate"/>
    </w:r>
    <w:r w:rsidR="00413824">
      <w:rPr>
        <w:noProof/>
      </w:rPr>
      <w:t>14</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CCA5" w14:textId="77777777" w:rsidR="00CF1462" w:rsidRDefault="00CF1462">
      <w:r>
        <w:rPr>
          <w:rFonts w:hAnsi="游明朝" w:cs="Times New Roman"/>
          <w:color w:val="auto"/>
          <w:sz w:val="2"/>
          <w:szCs w:val="2"/>
        </w:rPr>
        <w:continuationSeparator/>
      </w:r>
    </w:p>
  </w:footnote>
  <w:footnote w:type="continuationSeparator" w:id="0">
    <w:p w14:paraId="3BDDBEA3" w14:textId="77777777" w:rsidR="00CF1462" w:rsidRDefault="00CF1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966"/>
  <w:hyphenationZone w:val="0"/>
  <w:drawingGridHorizontalSpacing w:val="409"/>
  <w:drawingGridVerticalSpacing w:val="268"/>
  <w:displayHorizontalDrawingGridEvery w:val="0"/>
  <w:doNotUseMarginsForDrawingGridOrigin/>
  <w:doNotShadeFormData/>
  <w:characterSpacingControl w:val="doNotCompress"/>
  <w:noLineBreaksAfter w:lang="ja-JP" w:val="([{〈《「『【〔（［｛｢"/>
  <w:noLineBreaksBefore w:lang="ja-JP" w:val="!),.?]}、。〉》」』】〕！），．？］｝｡｣､ﾞﾟ"/>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A64"/>
    <w:rsid w:val="00413824"/>
    <w:rsid w:val="00596407"/>
    <w:rsid w:val="00631865"/>
    <w:rsid w:val="00755A64"/>
    <w:rsid w:val="007F2FF1"/>
    <w:rsid w:val="008B135B"/>
    <w:rsid w:val="008D28B9"/>
    <w:rsid w:val="00A90289"/>
    <w:rsid w:val="00CF1462"/>
    <w:rsid w:val="00D81A9B"/>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32747C0B"/>
  <w14:defaultImageDpi w14:val="0"/>
  <w15:docId w15:val="{72B113BB-F317-4196-8FC0-DEFB4BD1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hAnsi="ＭＳ ゴシック" w:cs="ＭＳ ゴシック"/>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標準(太郎文書スタイル)"/>
    <w:uiPriority w:val="99"/>
    <w:pPr>
      <w:widowControl w:val="0"/>
      <w:kinsoku w:val="0"/>
      <w:overflowPunct w:val="0"/>
      <w:adjustRightInd w:val="0"/>
      <w:spacing w:after="0" w:line="240" w:lineRule="auto"/>
      <w:jc w:val="both"/>
      <w:textAlignment w:val="baseline"/>
    </w:pPr>
    <w:rPr>
      <w:rFonts w:ascii="ＭＳ ゴシック" w:eastAsia="ＭＳ ゴシック" w:hAnsi="ＭＳ ゴシック" w:cs="ＭＳ ゴシック"/>
      <w:color w:val="000000"/>
      <w:sz w:val="24"/>
      <w:szCs w:val="24"/>
    </w:rPr>
  </w:style>
  <w:style w:type="paragraph" w:customStyle="1" w:styleId="a0">
    <w:name w:val="一太郎ランクスタイル１"/>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1">
    <w:name w:val="一太郎ランクスタイル２"/>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2">
    <w:name w:val="一太郎ランクスタイル３"/>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3">
    <w:name w:val="一太郎ランクスタイル４"/>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4">
    <w:name w:val="一太郎ランクスタイル５"/>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5">
    <w:name w:val="一太郎ランクスタイル６"/>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paragraph" w:customStyle="1" w:styleId="a6">
    <w:name w:val="一太郎ランクスタイル７"/>
    <w:uiPriority w:val="99"/>
    <w:pPr>
      <w:widowControl w:val="0"/>
      <w:suppressAutoHyphens/>
      <w:kinsoku w:val="0"/>
      <w:wordWrap w:val="0"/>
      <w:overflowPunct w:val="0"/>
      <w:autoSpaceDE w:val="0"/>
      <w:autoSpaceDN w:val="0"/>
      <w:adjustRightInd w:val="0"/>
      <w:spacing w:after="0" w:line="240" w:lineRule="auto"/>
      <w:textAlignment w:val="baseline"/>
    </w:pPr>
    <w:rPr>
      <w:rFonts w:ascii="ＭＳ ゴシック" w:eastAsia="ＭＳ ゴシック" w:cs="Times New Roman"/>
      <w:sz w:val="24"/>
      <w:szCs w:val="24"/>
    </w:rPr>
  </w:style>
  <w:style w:type="character" w:customStyle="1" w:styleId="a7">
    <w:name w:val="脚注(標準)"/>
    <w:uiPriority w:val="99"/>
    <w:rPr>
      <w:sz w:val="24"/>
      <w:szCs w:val="24"/>
      <w:vertAlign w:val="superscript"/>
    </w:rPr>
  </w:style>
  <w:style w:type="character" w:customStyle="1" w:styleId="a8">
    <w:name w:val="脚注ｴﾘｱ(標準)"/>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田中素子</dc:creator>
  <cp:keywords/>
  <dc:description/>
  <cp:lastModifiedBy>Nguyen Quang Phan</cp:lastModifiedBy>
  <cp:revision>4</cp:revision>
  <dcterms:created xsi:type="dcterms:W3CDTF">2026-03-18T08:35:00Z</dcterms:created>
  <dcterms:modified xsi:type="dcterms:W3CDTF">2026-04-25T05:31:00Z</dcterms:modified>
</cp:coreProperties>
</file>