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hd w:fill="ffffff" w:val="clear"/>
        <w:spacing w:after="0" w:before="0" w:line="288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lb89xe2p9qjd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 novel marketing mix and choice architecture framework to nudge restaurant customers toward healthy food environments to reduce obesity in the United States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http://onlinelibrary.wiley.com.libaccess.senecacollege.ca/doi/10.1111/obr.12553/full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Product: Healthy Food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Price: Not sure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Promotion: Across all of its franchise?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What: Creating Healthy Food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Who: Fast Food stores and customers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When: now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Why: Most of American are obese, some customers looking for fast fresh food or fast healthy food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How: By creating a healthy fast food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0" w:before="0" w:line="288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xcjnerbhjg4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Examining the influence of uncertainty on marketing mix strategy elements in emerging business to business export-markets.(Author abstract)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https://www-sciencedirect-com.libaccess.senecacollege.ca/science/article/pii/S0969593113000954?_rdoc=1&amp;_fmt=high&amp;_origin=gateway&amp;_docanchor=&amp;md5=b8429449ccfc9c30159a5f9aeaa92ffb&amp;ccp=y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nlinelibrary.wiley.com.libaccess.senecacollege.ca/doi/10.1111/obr.12553/full" TargetMode="External"/><Relationship Id="rId7" Type="http://schemas.openxmlformats.org/officeDocument/2006/relationships/hyperlink" Target="https://www-sciencedirect-com.libaccess.senecacollege.ca/science/article/pii/S0969593113000954?_rdoc=1&amp;_fmt=high&amp;_origin=gateway&amp;_docanchor=&amp;md5=b8429449ccfc9c30159a5f9aeaa92ffb&amp;ccp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