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Online Price Lists Management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ID: BTS-730 GRP 5 (LAB 5)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Oluwaseyi Aketepe(134971159) Khai Phan (100901164), Marco Rico (111708178), Julian Boyko (111404174)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 Lab 5 (Week 4). Time management – 2 %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basis of the WBS, you developed last week perform the following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Make improvements, in particular, review dependencies and detailed tasks duration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that vendor selecting tasks are included in the WBS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Identify milestones in your schedule. Use SMART criteria as a guide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Introduce some tasks that will be implemented in parallel with other tasks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Network diagram via MS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critical path via MS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your critical path. It must go from start to end. To see your critical path do the following: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 path will be shown in red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MS Project file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Describe your leads and lags (free form description)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