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C2EF882" w14:textId="69442429" w:rsidR="0010333C" w:rsidRPr="0010333C" w:rsidRDefault="0010333C" w:rsidP="00FB3FCB">
      <w:pPr>
        <w:pStyle w:val="Author"/>
        <w:spacing w:before="5pt" w:beforeAutospacing="1" w:after="5pt" w:afterAutospacing="1"/>
        <w:rPr>
          <w:rFonts w:eastAsia="MS Mincho"/>
          <w:b/>
          <w:bCs/>
          <w:sz w:val="48"/>
          <w:szCs w:val="48"/>
          <w:lang w:val="en-IN"/>
        </w:rPr>
      </w:pPr>
      <w:bookmarkStart w:id="0" w:name="_Hlk213584503"/>
      <w:r w:rsidRPr="0010333C">
        <w:rPr>
          <w:rFonts w:eastAsia="MS Mincho"/>
          <w:b/>
          <w:bCs/>
          <w:sz w:val="48"/>
          <w:szCs w:val="48"/>
          <w:lang w:val="en-IN"/>
        </w:rPr>
        <w:t xml:space="preserve">Zero-Shot Object Navigation </w:t>
      </w:r>
      <w:r w:rsidR="00C6058B">
        <w:rPr>
          <w:rFonts w:eastAsia="MS Mincho"/>
          <w:b/>
          <w:bCs/>
          <w:sz w:val="48"/>
          <w:szCs w:val="48"/>
          <w:lang w:val="en-IN"/>
        </w:rPr>
        <w:t xml:space="preserve">: </w:t>
      </w:r>
      <w:r w:rsidR="007C3475">
        <w:rPr>
          <w:rFonts w:eastAsia="MS Mincho"/>
          <w:b/>
          <w:bCs/>
          <w:sz w:val="48"/>
          <w:szCs w:val="48"/>
          <w:lang w:val="en-IN"/>
        </w:rPr>
        <w:t>I-JEPA</w:t>
      </w:r>
      <w:r w:rsidR="00C6058B">
        <w:rPr>
          <w:rFonts w:eastAsia="MS Mincho"/>
          <w:b/>
          <w:bCs/>
          <w:sz w:val="48"/>
          <w:szCs w:val="48"/>
          <w:lang w:val="en-IN"/>
        </w:rPr>
        <w:t xml:space="preserve"> </w:t>
      </w:r>
      <w:r w:rsidR="00FB3FCB">
        <w:rPr>
          <w:rFonts w:eastAsia="MS Mincho"/>
          <w:b/>
          <w:bCs/>
          <w:sz w:val="48"/>
          <w:szCs w:val="48"/>
          <w:lang w:val="en-IN"/>
        </w:rPr>
        <w:t xml:space="preserve">Nav </w:t>
      </w:r>
      <w:r w:rsidR="00C6058B">
        <w:rPr>
          <w:rFonts w:eastAsia="MS Mincho"/>
          <w:b/>
          <w:bCs/>
          <w:sz w:val="48"/>
          <w:szCs w:val="48"/>
          <w:lang w:val="en-IN"/>
        </w:rPr>
        <w:t>+ Semantic SLAM</w:t>
      </w:r>
    </w:p>
    <w:bookmarkEnd w:id="0"/>
    <w:p w14:paraId="517AC20D" w14:textId="009E251C" w:rsidR="00D7522C" w:rsidRDefault="006954A1" w:rsidP="006954A1">
      <w:pPr>
        <w:pStyle w:val="Author"/>
        <w:spacing w:before="5pt" w:beforeAutospacing="1" w:after="5pt" w:afterAutospacing="1"/>
        <w:rPr>
          <w:sz w:val="16"/>
          <w:szCs w:val="16"/>
        </w:rPr>
      </w:pPr>
      <w:r w:rsidRPr="0010333C">
        <w:rPr>
          <w:sz w:val="18"/>
          <w:szCs w:val="18"/>
        </w:rPr>
        <w:t>Kalyani Jawale</w:t>
      </w:r>
      <w:r w:rsidRPr="00F847A6">
        <w:rPr>
          <w:sz w:val="18"/>
          <w:szCs w:val="18"/>
        </w:rPr>
        <w:br/>
      </w:r>
      <w:r w:rsidRPr="0010333C">
        <w:rPr>
          <w:sz w:val="18"/>
          <w:szCs w:val="18"/>
        </w:rPr>
        <w:t>Independent Researcher</w:t>
      </w:r>
      <w:r w:rsidR="00997C32">
        <w:rPr>
          <w:sz w:val="18"/>
          <w:szCs w:val="18"/>
        </w:rPr>
        <w:t xml:space="preserve">, </w:t>
      </w:r>
      <w:r w:rsidRPr="0010333C">
        <w:rPr>
          <w:sz w:val="18"/>
          <w:szCs w:val="18"/>
        </w:rPr>
        <w:t>Kulfi Robotics</w:t>
      </w:r>
      <w:r w:rsidRPr="00F847A6">
        <w:rPr>
          <w:i/>
          <w:sz w:val="18"/>
          <w:szCs w:val="18"/>
        </w:rPr>
        <w:br/>
      </w:r>
      <w:r w:rsidR="00183CCB">
        <w:rPr>
          <w:sz w:val="18"/>
          <w:szCs w:val="18"/>
        </w:rPr>
        <w:t>Maharashtra</w:t>
      </w:r>
      <w:r w:rsidRPr="0010333C">
        <w:rPr>
          <w:sz w:val="18"/>
          <w:szCs w:val="18"/>
        </w:rPr>
        <w:t>, India</w:t>
      </w:r>
      <w:r w:rsidRPr="00F847A6">
        <w:rPr>
          <w:sz w:val="18"/>
          <w:szCs w:val="18"/>
        </w:rPr>
        <w:br/>
      </w:r>
      <w:r w:rsidRPr="0010333C">
        <w:rPr>
          <w:sz w:val="18"/>
          <w:szCs w:val="18"/>
        </w:rPr>
        <w:t>kalyani.jawale9991@gmail.com</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43AE79A1" w14:textId="77777777" w:rsidR="00A45BB0" w:rsidRPr="00A45BB0" w:rsidRDefault="00A45BB0" w:rsidP="00A45BB0">
      <w:pPr>
        <w:pStyle w:val="Keywords"/>
        <w:rPr>
          <w:iCs/>
          <w:lang w:val="en-IN"/>
        </w:rPr>
      </w:pPr>
      <w:r w:rsidRPr="00A45BB0">
        <w:rPr>
          <w:iCs/>
          <w:lang w:val="en-IN"/>
        </w:rPr>
        <w:t>Zero-shot navigation aims to enable robots to follow natural language instructions and locate novel objects without task-specific retraining. However, most existing approaches either rely solely on semantic reasoning from vision-language models or emphasize geometric localization through SLAM, lacking a unified system that leverages the strengths of both semantic, geometric, and strategic reasoning. To bridge this divide, we present Hybrid Zero-Shot SLAM-Nav, a novel framework that tightly integrates open-vocabulary object understanding with real-time spatial mapping, enhanced by language model-based strategic planning. Our approach couples the geometric precision of ORB-SLAM3 with the zero-shot semantic detection capabilities of OWL-</w:t>
      </w:r>
      <w:proofErr w:type="spellStart"/>
      <w:r w:rsidRPr="00A45BB0">
        <w:rPr>
          <w:iCs/>
          <w:lang w:val="en-IN"/>
        </w:rPr>
        <w:t>ViT</w:t>
      </w:r>
      <w:proofErr w:type="spellEnd"/>
      <w:r w:rsidRPr="00A45BB0">
        <w:rPr>
          <w:iCs/>
          <w:lang w:val="en-IN"/>
        </w:rPr>
        <w:t xml:space="preserve">, while employing </w:t>
      </w:r>
      <w:proofErr w:type="spellStart"/>
      <w:r w:rsidRPr="00A45BB0">
        <w:rPr>
          <w:iCs/>
          <w:lang w:val="en-IN"/>
        </w:rPr>
        <w:t>TinyLlama</w:t>
      </w:r>
      <w:proofErr w:type="spellEnd"/>
      <w:r w:rsidRPr="00A45BB0">
        <w:rPr>
          <w:iCs/>
          <w:lang w:val="en-IN"/>
        </w:rPr>
        <w:t xml:space="preserve"> for hierarchical planning and strategy optimization. This multi-modal fusion enables robust goal recognition, spatial reasoning, and environment-aware exploration. Furthermore, </w:t>
      </w:r>
      <w:r w:rsidRPr="00A45BB0">
        <w:rPr>
          <w:iCs/>
        </w:rPr>
        <w:t>we introduce a unified global navigation strategy that combines high-level semantic reasoning with real-time occupancy mapping and I-JEPA-derived structural embeddings to guide efficient, interpretable navigation decisions.</w:t>
      </w:r>
      <w:r w:rsidRPr="00A45BB0">
        <w:rPr>
          <w:iCs/>
          <w:lang w:val="en-IN"/>
        </w:rPr>
        <w:t xml:space="preserve"> </w:t>
      </w:r>
      <w:r w:rsidRPr="00A45BB0">
        <w:rPr>
          <w:iCs/>
        </w:rPr>
        <w:t>Experimental evaluations demonstrate that our framework achieves successful navigation to novel objects while maintaining adaptability to unseen environments through a robust, generalized planning architecture.</w:t>
      </w:r>
      <w:r w:rsidRPr="00A45BB0">
        <w:rPr>
          <w:iCs/>
          <w:lang w:val="en-IN"/>
        </w:rPr>
        <w:t xml:space="preserve"> Our results highlight the potential of unifying geometric mapping with zero-shot semantic understanding, structural prediction, and language-based planning to achieve truly generalized embodied intelligence.</w:t>
      </w:r>
    </w:p>
    <w:p w14:paraId="3F9CDE0E" w14:textId="5D74A1FB" w:rsidR="009303D9" w:rsidRPr="004D72B5" w:rsidRDefault="004D72B5" w:rsidP="00972203">
      <w:pPr>
        <w:pStyle w:val="Keywords"/>
      </w:pPr>
      <w:r w:rsidRPr="004D72B5">
        <w:t>Keywords—</w:t>
      </w:r>
      <w:r w:rsidR="00DC4EA2" w:rsidRPr="00DC4EA2">
        <w:rPr>
          <w:b w:val="0"/>
          <w:bCs w:val="0"/>
          <w:i w:val="0"/>
          <w:sz w:val="20"/>
          <w:szCs w:val="20"/>
        </w:rPr>
        <w:t xml:space="preserve"> </w:t>
      </w:r>
      <w:r w:rsidR="00DC4EA2" w:rsidRPr="00DC4EA2">
        <w:t>zero-shot navigation, semantic mapping, geometric fusion</w:t>
      </w:r>
      <w:r w:rsidR="00000FFD" w:rsidRPr="00000FFD">
        <w:t>, ORB-SLAM3, OWL-</w:t>
      </w:r>
      <w:proofErr w:type="spellStart"/>
      <w:r w:rsidR="00000FFD" w:rsidRPr="00000FFD">
        <w:t>ViT</w:t>
      </w:r>
      <w:proofErr w:type="spellEnd"/>
      <w:r w:rsidR="00000FFD" w:rsidRPr="00000FFD">
        <w:t xml:space="preserve">, </w:t>
      </w:r>
      <w:proofErr w:type="spellStart"/>
      <w:r w:rsidR="00000FFD" w:rsidRPr="00000FFD">
        <w:t>TinyLlama</w:t>
      </w:r>
      <w:proofErr w:type="spellEnd"/>
      <w:r w:rsidR="00000FFD" w:rsidRPr="00000FFD">
        <w:t xml:space="preserve">, I-JEPA, strategic planning, occupancy mapping, embodied </w:t>
      </w:r>
      <w:r w:rsidR="00000FFD">
        <w:t>AI</w:t>
      </w:r>
    </w:p>
    <w:p w14:paraId="7FFFA702" w14:textId="49B1E1A7" w:rsidR="009303D9" w:rsidRPr="00D632BE" w:rsidRDefault="009303D9" w:rsidP="006B6B66">
      <w:pPr>
        <w:pStyle w:val="Heading1"/>
      </w:pPr>
      <w:bookmarkStart w:id="1" w:name="_Hlk212971688"/>
      <w:r w:rsidRPr="00D632BE">
        <w:t xml:space="preserve">Introduction </w:t>
      </w:r>
      <w:bookmarkEnd w:id="1"/>
      <w:r w:rsidR="005B0344" w:rsidRPr="00EA506F">
        <w:rPr>
          <w:rFonts w:eastAsia="MS Mincho"/>
          <w:i/>
        </w:rPr>
        <w:t xml:space="preserve"> </w:t>
      </w:r>
    </w:p>
    <w:p w14:paraId="23B0BE97" w14:textId="7AFC151E" w:rsidR="00A85B98" w:rsidRDefault="00995965" w:rsidP="00A85B98">
      <w:pPr>
        <w:pStyle w:val="BodyText"/>
      </w:pPr>
      <w:r w:rsidRPr="00995965">
        <w:rPr>
          <w:lang w:val="en-US"/>
        </w:rPr>
        <w:t xml:space="preserve">The dream of a truly autonomous robot—one capable of executing high-level commands in unseen, open-world environments—remains a cornerstone challenge in robotics, as traditional geometric mapping provides a crucial foundation but remains semantically blind, while state-of-the-art navigation systems often struggle to generalize across diverse layouts and unscripted strategies. The fundamental limitation is the failure to integrate large-scale commonsense knowledge directly into the navigation loop, as current systems typically rely on reactive geometric planning or predefined object search. Our system advances beyond this by integrating semantic awareness with strategic reasoning, enabling context-adaptive search behavior that, unlike approaches executing fixed search patterns, dynamically selects between proximity-based, priority-based, and exploration-focused strategies based on real-time analysis of mission intent, room layout, and environmental risk. This allows the robot to intelligently prioritize search targets and adjust its exploration approach as environmental context </w:t>
      </w:r>
      <w:r w:rsidRPr="00995965">
        <w:rPr>
          <w:lang w:val="en-US"/>
        </w:rPr>
        <w:t>changes, creating a more efficient, goal-oriented navigation process that bridges the gap between low-level spatial perception and high-level mission intelligence</w:t>
      </w:r>
      <w:r w:rsidR="00A85B98">
        <w:t>.</w:t>
      </w:r>
    </w:p>
    <w:p w14:paraId="0DB6F576" w14:textId="1ECA8C98" w:rsidR="009303D9" w:rsidRDefault="00B33603" w:rsidP="00A85B98">
      <w:pPr>
        <w:pStyle w:val="BodyText"/>
      </w:pPr>
      <w:r w:rsidRPr="00B33603">
        <w:rPr>
          <w:lang w:val="en-US"/>
        </w:rPr>
        <w:t>To bridge this gap between geometric precision and semantic understanding, we present a hybrid navigation framework that integrates real-time 3D mapping with open-vocabulary perception and hierarchical reasoning. Our system simultaneously builds geometric and semantic maps through ORB-SLAM3, projecting open-vocabulary object detections into persistent 3D representations that maintain coordinate alignment between the robot's internal spatial understanding and the environment. Crucially, we integrate these rich semantic-geometric representations into hierarchical planning through a two-stage reasoning process that adapts search strategies based on mission context—dynamically selecting between proximity-first, priority-first, and exploration-focused approaches informed by real-time analysis of room layout, object distribution, and risk factors. This structured reasoning, documented with complete decision traces, enables the system to generate targeted object search plans while maintaining transparency in decision-making. The integration extends further to structural awareness through visual continuity prediction, allowing the robot to anticipate scene transitions and maintain stable navigation patterns. Together, these capabilities form a unified navigation system that moves beyond purely geometric approaches by grounding semantic understanding in real-time spatial maps and using structured reasoning to translate mission requirements into context-adaptive navigation strategies</w:t>
      </w:r>
      <w:r w:rsidRPr="00B33603">
        <w:rPr>
          <w:b/>
          <w:bCs/>
          <w:lang w:val="en-US"/>
        </w:rPr>
        <w:t>.</w:t>
      </w:r>
      <w:r>
        <w:rPr>
          <w:b/>
          <w:bCs/>
          <w:lang w:val="en-US"/>
        </w:rPr>
        <w:t xml:space="preserve"> </w:t>
      </w:r>
      <w:r w:rsidR="00A85B98">
        <w:t>In summary, we propose a modular architecture that separates the high-level, logical reasoning (handled by LLM/VLM) from the robust, low-level control (handled by the optimized hybrid map-based Nav stack). This decoupling dramatically improves both the generalizability to novel tasks and the stability of the robot’s physical execution, a critical advancement for deployable, general-purpose robotics.</w:t>
      </w:r>
    </w:p>
    <w:p w14:paraId="51F3D739" w14:textId="77777777" w:rsidR="003B2A9E" w:rsidRDefault="003B2A9E" w:rsidP="00A85B98">
      <w:pPr>
        <w:pStyle w:val="BodyText"/>
      </w:pPr>
    </w:p>
    <w:p w14:paraId="69800667" w14:textId="5BB2D821" w:rsidR="003B2A9E" w:rsidRPr="003F1FE8" w:rsidRDefault="003B2A9E" w:rsidP="00291C02">
      <w:pPr>
        <w:pStyle w:val="Heading1"/>
      </w:pPr>
      <w:r w:rsidRPr="003F1FE8">
        <w:t>HYBRID ZERO SHOT NAVIGATION FRAMEWORK</w:t>
      </w:r>
    </w:p>
    <w:p w14:paraId="075A6E8C" w14:textId="77777777" w:rsidR="003F1FE8" w:rsidRPr="003F1FE8" w:rsidRDefault="003F1FE8" w:rsidP="003F1FE8"/>
    <w:p w14:paraId="24979543" w14:textId="1A46C94D" w:rsidR="0066691B" w:rsidRPr="0066691B" w:rsidRDefault="0066691B" w:rsidP="0066691B">
      <w:pPr>
        <w:pStyle w:val="BodyText"/>
        <w:rPr>
          <w:lang w:val="en-IN"/>
        </w:rPr>
      </w:pPr>
      <w:r w:rsidRPr="0066691B">
        <w:rPr>
          <w:lang w:val="en-IN"/>
        </w:rPr>
        <w:t>We propose a modular architecture for open-vocabulary object navigation that decouples high-level semantic reasoning from low-level physical control. Our framework integrates real-time geometric mapping via ORB-SLAM3 with zero-shot semantic detections from OWL-</w:t>
      </w:r>
      <w:proofErr w:type="spellStart"/>
      <w:r w:rsidRPr="0066691B">
        <w:rPr>
          <w:lang w:val="en-IN"/>
        </w:rPr>
        <w:t>ViT</w:t>
      </w:r>
      <w:proofErr w:type="spellEnd"/>
      <w:r w:rsidRPr="0066691B">
        <w:rPr>
          <w:lang w:val="en-IN"/>
        </w:rPr>
        <w:t>, projecting these into persistent 3D representations to ensure precise spatial-coordinate alignment.</w:t>
      </w:r>
      <w:r>
        <w:rPr>
          <w:lang w:val="en-IN"/>
        </w:rPr>
        <w:t xml:space="preserve"> </w:t>
      </w:r>
      <w:r w:rsidRPr="0066691B">
        <w:rPr>
          <w:lang w:val="en-IN"/>
        </w:rPr>
        <w:t xml:space="preserve">Navigation is driven by a global planning strategy that utilizes </w:t>
      </w:r>
      <w:proofErr w:type="spellStart"/>
      <w:r w:rsidRPr="0066691B">
        <w:rPr>
          <w:lang w:val="en-IN"/>
        </w:rPr>
        <w:t>TinyLlama</w:t>
      </w:r>
      <w:proofErr w:type="spellEnd"/>
      <w:r w:rsidRPr="0066691B">
        <w:rPr>
          <w:lang w:val="en-IN"/>
        </w:rPr>
        <w:t xml:space="preserve"> for semantic reasoning and I-</w:t>
      </w:r>
      <w:r w:rsidRPr="0066691B">
        <w:rPr>
          <w:lang w:val="en-IN"/>
        </w:rPr>
        <w:lastRenderedPageBreak/>
        <w:t>JEPA-derived structural embeddings to anticipate scene transitions. By isolating compute-intensive vision-language processing from time-critical control, the system achieves robust goal recognition and environment-aware exploration. This unified approach enables efficient navigation to novel objects in unseen environments without requiring task-specific retraining.</w:t>
      </w:r>
    </w:p>
    <w:p w14:paraId="6BC59852" w14:textId="77777777" w:rsidR="003B2A9E" w:rsidRDefault="003B2A9E" w:rsidP="00A85B98">
      <w:pPr>
        <w:pStyle w:val="BodyText"/>
      </w:pPr>
    </w:p>
    <w:p w14:paraId="04BD23A2" w14:textId="3E3B78CE" w:rsidR="003F1FE8" w:rsidRPr="003F1FE8" w:rsidRDefault="003F1FE8" w:rsidP="003F1FE8">
      <w:pPr>
        <w:pStyle w:val="Heading2"/>
        <w:rPr>
          <w:lang w:val="en-IN"/>
        </w:rPr>
      </w:pPr>
      <w:r w:rsidRPr="003F1FE8">
        <w:rPr>
          <w:lang w:val="en-IN"/>
        </w:rPr>
        <w:t xml:space="preserve"> Problem Statement</w:t>
      </w:r>
    </w:p>
    <w:p w14:paraId="78A9C924" w14:textId="236466A4" w:rsidR="008E1D95" w:rsidRDefault="008E1D95" w:rsidP="008E1D95">
      <w:pPr>
        <w:ind w:firstLine="14.40pt"/>
        <w:jc w:val="both"/>
        <w:rPr>
          <w:spacing w:val="-1"/>
          <w:lang w:val="en-IN" w:eastAsia="x-none"/>
        </w:rPr>
      </w:pPr>
      <w:r w:rsidRPr="008E1D95">
        <w:rPr>
          <w:spacing w:val="-1"/>
          <w:lang w:val="en-IN" w:eastAsia="x-none"/>
        </w:rPr>
        <w:t>The fundamental challenge in robotic navigation lies in the disconnect between high-level semantic understanding and low-level geometric execution. While traditional SLAM-based systems provide precise geometric mapping and localization, they remain semantically blind—incapable of recognizing objects beyond predefined categories. Conversely, modern vision-language models excel at open-vocabulary understanding and intent interpretation, yet lack the spatial grounding and real-time geometric reasoning necessary for reliable physical navigation. This semantic-geometric divide severely limits the adaptability of autonomous robots, confining them to either reactive obstacle avoidance in known environments or semantic search within constrained object vocabularies, unable to execute complex, human-like instructions in truly novel, unstructured spaces.</w:t>
      </w:r>
    </w:p>
    <w:p w14:paraId="3A38B550" w14:textId="77777777" w:rsidR="008E1D95" w:rsidRPr="008E1D95" w:rsidRDefault="008E1D95" w:rsidP="008E1D95">
      <w:pPr>
        <w:jc w:val="both"/>
        <w:rPr>
          <w:spacing w:val="-1"/>
          <w:lang w:val="en-IN" w:eastAsia="x-none"/>
        </w:rPr>
      </w:pPr>
    </w:p>
    <w:p w14:paraId="20AEC301" w14:textId="7FBA39B3" w:rsidR="006C3C0F" w:rsidRPr="006C3C0F" w:rsidRDefault="008E1D95" w:rsidP="006C3C0F">
      <w:pPr>
        <w:pStyle w:val="BodyText"/>
        <w:rPr>
          <w:lang w:val="en-IN"/>
        </w:rPr>
      </w:pPr>
      <w:r w:rsidRPr="008E1D95">
        <w:rPr>
          <w:lang w:val="en-US"/>
        </w:rPr>
        <w:t>Existing navigation paradigms suffer from a critical generalization gap: they either rely on task-specific training that fails in unseen environments or employ simplistic search strategies that lack contextual adaptation. Systems that excel at geometric precision cannot interpret and reason about mission objectives, while those capable of semantic understanding cannot translate that understanding into adaptive, context-aware navigation plans. Current approaches lack integrated reasoning that simultaneously considers mission context, environmental layout, and exploration efficiency, leading to either brittle rule-based behaviors that cannot adapt to changing conditions or computationally expensive but strategically naive exploration patterns. This fragmentation prevents robots from dynamically selecting appropriate search strategies based on real-time environmental analysis or maintaining transparent, explainable decision-making during mission execution</w:t>
      </w:r>
      <w:r w:rsidR="006C3C0F" w:rsidRPr="006C3C0F">
        <w:rPr>
          <w:lang w:val="en-IN"/>
        </w:rPr>
        <w:t>.</w:t>
      </w:r>
    </w:p>
    <w:p w14:paraId="565058B8" w14:textId="77777777" w:rsidR="006C3C0F" w:rsidRDefault="006C3C0F" w:rsidP="003F1FE8">
      <w:pPr>
        <w:pStyle w:val="BodyText"/>
        <w:rPr>
          <w:lang w:val="en-IN"/>
        </w:rPr>
      </w:pPr>
    </w:p>
    <w:p w14:paraId="3251353C" w14:textId="4C7F2C7D" w:rsidR="006C3C0F" w:rsidRPr="00EA7105" w:rsidRDefault="006C3C0F" w:rsidP="006C3C0F">
      <w:pPr>
        <w:pStyle w:val="Heading2"/>
      </w:pPr>
      <w:r w:rsidRPr="006C3C0F">
        <w:t xml:space="preserve">Understanding What It Sees </w:t>
      </w:r>
    </w:p>
    <w:p w14:paraId="30FFA307" w14:textId="3926C9EC" w:rsidR="00E86AD1" w:rsidRPr="00EA7105" w:rsidRDefault="00EA7105" w:rsidP="00E86AD1">
      <w:pPr>
        <w:jc w:val="both"/>
      </w:pPr>
      <w:r w:rsidRPr="00EA7105">
        <w:t>Perception in our system is grounded in real-time 2D-to-3D semantic projection, where open-vocabulary object detections from OWL-</w:t>
      </w:r>
      <w:proofErr w:type="spellStart"/>
      <w:r w:rsidRPr="00EA7105">
        <w:t>ViT</w:t>
      </w:r>
      <w:proofErr w:type="spellEnd"/>
      <w:r w:rsidRPr="00EA7105">
        <w:t xml:space="preserve"> are transformed into precise 3D coordinates using synchronized depth data and ORB-SLAM3 camera poses. This projection pipeline maintains coordinate system alignment through SLAM-to-world transform calculation, ensuring semantic objects are accurately positioned within the geometric map. Each detected object is tracked across frames with confidence accumulation and position smoothing, creating persistent semantic representations that update as the robot explores. Mission-specific object detection prioritizes task-relevant targets, automatically storing their 3D coordinates for</w:t>
      </w:r>
      <w:r w:rsidR="009E69BD">
        <w:t xml:space="preserve"> map building and navigation planning</w:t>
      </w:r>
      <w:r w:rsidRPr="00EA7105">
        <w:t xml:space="preserve">. The resulting semantic-geometric fusion enables targeted object search where </w:t>
      </w:r>
      <w:r w:rsidRPr="00EA7105">
        <w:t>navigation strategies can be optimized based on the spatial distribution of semantically recognized elements in the environment</w:t>
      </w:r>
      <w:r w:rsidR="00186EF6" w:rsidRPr="00EA7105">
        <w:t>.</w:t>
      </w:r>
    </w:p>
    <w:p w14:paraId="27FC8FE8" w14:textId="77777777" w:rsidR="00186EF6" w:rsidRDefault="00186EF6" w:rsidP="00E86AD1">
      <w:pPr>
        <w:jc w:val="both"/>
        <w:rPr>
          <w:lang w:val="en-IN"/>
        </w:rPr>
      </w:pPr>
    </w:p>
    <w:p w14:paraId="1819DAFA" w14:textId="7B6964F5" w:rsidR="00E86AD1" w:rsidRDefault="00E86AD1" w:rsidP="00E86AD1">
      <w:pPr>
        <w:pStyle w:val="Heading2"/>
      </w:pPr>
      <w:r w:rsidRPr="00E86AD1">
        <w:t>Seeing Without Understanding</w:t>
      </w:r>
    </w:p>
    <w:p w14:paraId="10D9F198" w14:textId="296F1F78" w:rsidR="00E86AD1" w:rsidRPr="00EA7105" w:rsidRDefault="00EA7105" w:rsidP="00E86AD1">
      <w:pPr>
        <w:jc w:val="both"/>
      </w:pPr>
      <w:r w:rsidRPr="00EA7105">
        <w:t>While our system achieves semantic-geometric fusion through 2D-to-3D projection and coordinate alignment, standard navigation systems remain limited by their inability to interpret environmental meaning. Conventional SLAM approaches create accurate spatial representations but lack integration with vision-language models for object understanding, producing maps without semantic labels or task-relevant object identities. These systems operate on geometric principles alone, navigating based on distance without incorporating semantic context into path planning. This limitation prevents adaptation to mission-specific requirements or optimization based on recognized object distributions, maintaining a disconnect between spatial awareness and task execution that our semantic projection pipeline specifically addresses.</w:t>
      </w:r>
    </w:p>
    <w:p w14:paraId="77278465" w14:textId="77777777" w:rsidR="00291C02" w:rsidRDefault="00291C02" w:rsidP="00E86AD1">
      <w:pPr>
        <w:jc w:val="both"/>
      </w:pPr>
    </w:p>
    <w:p w14:paraId="26171FB9" w14:textId="72B8BEBD" w:rsidR="00291C02" w:rsidRPr="00291C02" w:rsidRDefault="00291C02" w:rsidP="00291C02">
      <w:pPr>
        <w:pStyle w:val="Heading1"/>
        <w:rPr>
          <w:lang w:val="en-IN"/>
        </w:rPr>
      </w:pPr>
      <w:r w:rsidRPr="00291C02">
        <w:rPr>
          <w:lang w:val="en-IN"/>
        </w:rPr>
        <w:t>EXPERIMENTS</w:t>
      </w:r>
    </w:p>
    <w:p w14:paraId="0C843F68" w14:textId="539E07BB" w:rsidR="0033349B" w:rsidRPr="00D91CED" w:rsidRDefault="00D91CED" w:rsidP="0033349B">
      <w:pPr>
        <w:pStyle w:val="BodyText"/>
        <w:rPr>
          <w:spacing w:val="0"/>
          <w:lang w:val="en-IN" w:eastAsia="en-US"/>
        </w:rPr>
      </w:pPr>
      <w:r w:rsidRPr="00D91CED">
        <w:rPr>
          <w:spacing w:val="0"/>
          <w:lang w:val="en-US" w:eastAsia="en-US"/>
        </w:rPr>
        <w:t>Experimental validation employs success rate (SR) and success weighted by path length (SPL) metrics across 5 scenes from the HM3D-miniVal dataset, with 10 episodes per scene and 5 distinct object search tasks per episode. All experiments execute on an RTX 3050 GPU, comparing navigation performance against a straight-turn policy baseline. Ablation studies quantify component contributions by disabling Tree of Thoughts planning and I-JEPA structural predictions, isolating their impact on task efficiency and collision avoidance. Identical environmental seeds, start positions, and target objects ensure fair comparison across all method variants.</w:t>
      </w:r>
    </w:p>
    <w:p w14:paraId="4F6EE484" w14:textId="76031FED" w:rsidR="00F27D82" w:rsidRDefault="00F27D82" w:rsidP="00F27D82">
      <w:pPr>
        <w:pStyle w:val="Heading2"/>
        <w:rPr>
          <w:lang w:val="en-IN"/>
        </w:rPr>
      </w:pPr>
      <w:r w:rsidRPr="00F27D82">
        <w:rPr>
          <w:lang w:val="en-IN"/>
        </w:rPr>
        <w:t xml:space="preserve">Perception Generalization via Semantic Map </w:t>
      </w:r>
    </w:p>
    <w:p w14:paraId="60642C4E" w14:textId="68CE7F9B" w:rsidR="00F27D82" w:rsidRDefault="00F27D82" w:rsidP="000546CB">
      <w:pPr>
        <w:pStyle w:val="BodyText"/>
        <w:rPr>
          <w:lang w:val="en-IN"/>
        </w:rPr>
      </w:pPr>
      <w:r w:rsidRPr="00F27D82">
        <w:rPr>
          <w:lang w:val="en-IN"/>
        </w:rPr>
        <w:t xml:space="preserve"> </w:t>
      </w:r>
      <w:r w:rsidR="00FA6760" w:rsidRPr="00FA6760">
        <w:rPr>
          <w:lang w:val="en-IN"/>
        </w:rPr>
        <w:t>The objective of this experiment is to quantify the contribution of integrated strategic planning and structural awareness to object navigation performance in novel environments. We evaluated the full framework across Habitat simulation scenes, testing the system's ability to navigate toward object categories in unseen layouts. We compared our full orchestrated method against a Straight-Turn heuristic to evaluate the benefit of strategic reasoning over reactive geometric motion.</w:t>
      </w:r>
      <w:r w:rsidR="000546CB">
        <w:rPr>
          <w:lang w:val="en-IN"/>
        </w:rPr>
        <w:t xml:space="preserve"> </w:t>
      </w:r>
      <w:r w:rsidR="00FA6760" w:rsidRPr="00FA6760">
        <w:rPr>
          <w:lang w:val="en-IN"/>
        </w:rPr>
        <w:t xml:space="preserve">To further isolate the impact of our core innovations, we conducted internal ablations by removing the strategic reasoning </w:t>
      </w:r>
      <w:r w:rsidR="00825800">
        <w:rPr>
          <w:lang w:val="en-IN"/>
        </w:rPr>
        <w:t xml:space="preserve"> </w:t>
      </w:r>
      <w:r w:rsidR="00FA6760" w:rsidRPr="00FA6760">
        <w:rPr>
          <w:lang w:val="en-IN"/>
        </w:rPr>
        <w:t xml:space="preserve"> and structural continuity (I-JEPA) modules. Analysis reveals that component removal substantially degrades both task completion efficiency and collision avoidance performance, confirming the integrated system's value for robust object search in unseen environments. Performance was measured using standard metrics, including Success Rate (SR) and Success weighted by Path Length (SPL), to validate both the accuracy and the efficiency of the navigation process</w:t>
      </w:r>
      <w:r w:rsidRPr="00F27D82">
        <w:rPr>
          <w:lang w:val="en-IN"/>
        </w:rPr>
        <w:t>. The Results Summary shows that the Full Hybrid System achieved an average 8.4% absolute improvement in Zero-Shot SR over the strongest baseline. This confirms that persistent, 3D semantic mapping is critical for robust goal localization and generalization, especially when the target object is not in the immediate field of view.</w:t>
      </w:r>
    </w:p>
    <w:p w14:paraId="3FF12043" w14:textId="605FA1BD" w:rsidR="0083545D" w:rsidRPr="005B520E" w:rsidRDefault="0033349B" w:rsidP="0083545D">
      <w:pPr>
        <w:pStyle w:val="tablehead"/>
      </w:pPr>
      <w:r w:rsidRPr="0033349B">
        <w:lastRenderedPageBreak/>
        <w:t>ABLATION ON SEMANTIC MAP FUSION FOR HABITAT</w:t>
      </w:r>
      <w:r>
        <w:t xml:space="preserve"> ZSON</w:t>
      </w:r>
    </w:p>
    <w:tbl>
      <w:tblPr>
        <w:tblW w:w="250.2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982"/>
        <w:gridCol w:w="1223"/>
        <w:gridCol w:w="900"/>
        <w:gridCol w:w="900"/>
      </w:tblGrid>
      <w:tr w:rsidR="0033349B" w:rsidRPr="0033349B" w14:paraId="072DD0CA" w14:textId="77777777" w:rsidTr="0033349B">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0A045996" w14:textId="77777777" w:rsidR="00500470" w:rsidRDefault="00500470" w:rsidP="0033349B">
            <w:pPr>
              <w:rPr>
                <w:b/>
                <w:bCs/>
                <w:sz w:val="16"/>
                <w:szCs w:val="16"/>
              </w:rPr>
            </w:pPr>
          </w:p>
          <w:p w14:paraId="4D7DE3BB" w14:textId="23E7ADD4" w:rsidR="0033349B" w:rsidRPr="0033349B" w:rsidRDefault="0033349B" w:rsidP="0033349B">
            <w:pPr>
              <w:rPr>
                <w:b/>
                <w:bCs/>
                <w:sz w:val="16"/>
                <w:szCs w:val="16"/>
              </w:rPr>
            </w:pPr>
            <w:r w:rsidRPr="0033349B">
              <w:rPr>
                <w:b/>
                <w:bCs/>
                <w:sz w:val="16"/>
                <w:szCs w:val="16"/>
              </w:rPr>
              <w:t>Method</w:t>
            </w:r>
          </w:p>
        </w:tc>
        <w:tc>
          <w:tcPr>
            <w:tcW w:w="61.15pt" w:type="dxa"/>
            <w:tcBorders>
              <w:top w:val="single" w:sz="2" w:space="0" w:color="auto"/>
              <w:start w:val="single" w:sz="2" w:space="0" w:color="auto"/>
              <w:bottom w:val="single" w:sz="2" w:space="0" w:color="auto"/>
              <w:end w:val="single" w:sz="2" w:space="0" w:color="auto"/>
            </w:tcBorders>
            <w:vAlign w:val="center"/>
          </w:tcPr>
          <w:p w14:paraId="7196580B" w14:textId="77777777" w:rsidR="0033349B" w:rsidRPr="0033349B" w:rsidRDefault="0033349B" w:rsidP="0033349B">
            <w:pPr>
              <w:pStyle w:val="tablecolsubhead"/>
              <w:rPr>
                <w:i w:val="0"/>
                <w:iCs w:val="0"/>
              </w:rPr>
            </w:pPr>
            <w:r w:rsidRPr="0033349B">
              <w:rPr>
                <w:i w:val="0"/>
                <w:iCs w:val="0"/>
              </w:rPr>
              <w:t>Zero-Shot SR (%)</w:t>
            </w:r>
          </w:p>
        </w:tc>
        <w:tc>
          <w:tcPr>
            <w:tcW w:w="45pt" w:type="dxa"/>
            <w:tcBorders>
              <w:top w:val="single" w:sz="2" w:space="0" w:color="auto"/>
              <w:start w:val="single" w:sz="2" w:space="0" w:color="auto"/>
              <w:bottom w:val="single" w:sz="2" w:space="0" w:color="auto"/>
              <w:end w:val="single" w:sz="2" w:space="0" w:color="auto"/>
            </w:tcBorders>
            <w:vAlign w:val="center"/>
          </w:tcPr>
          <w:p w14:paraId="2FBC9968" w14:textId="77777777" w:rsidR="0033349B" w:rsidRPr="0033349B" w:rsidRDefault="0033349B" w:rsidP="0033349B">
            <w:pPr>
              <w:pStyle w:val="tablecolsubhead"/>
              <w:rPr>
                <w:i w:val="0"/>
                <w:iCs w:val="0"/>
              </w:rPr>
            </w:pPr>
            <w:r w:rsidRPr="0033349B">
              <w:rPr>
                <w:i w:val="0"/>
                <w:iCs w:val="0"/>
              </w:rPr>
              <w:t>SPL (%)</w:t>
            </w:r>
          </w:p>
        </w:tc>
        <w:tc>
          <w:tcPr>
            <w:tcW w:w="45pt" w:type="dxa"/>
            <w:tcBorders>
              <w:top w:val="single" w:sz="2" w:space="0" w:color="auto"/>
              <w:start w:val="single" w:sz="2" w:space="0" w:color="auto"/>
              <w:bottom w:val="single" w:sz="2" w:space="0" w:color="auto"/>
              <w:end w:val="single" w:sz="2" w:space="0" w:color="auto"/>
            </w:tcBorders>
            <w:vAlign w:val="center"/>
          </w:tcPr>
          <w:p w14:paraId="7155E48C" w14:textId="77777777" w:rsidR="0033349B" w:rsidRPr="0033349B" w:rsidRDefault="0033349B" w:rsidP="0033349B">
            <w:pPr>
              <w:pStyle w:val="tablecolsubhead"/>
              <w:rPr>
                <w:i w:val="0"/>
                <w:iCs w:val="0"/>
              </w:rPr>
            </w:pPr>
            <w:r w:rsidRPr="0033349B">
              <w:rPr>
                <w:i w:val="0"/>
                <w:iCs w:val="0"/>
              </w:rPr>
              <w:t>Semantic Recall (%)</w:t>
            </w:r>
          </w:p>
        </w:tc>
      </w:tr>
      <w:tr w:rsidR="00917C52" w:rsidRPr="0033349B" w14:paraId="0228F847" w14:textId="77777777" w:rsidTr="0033349B">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03AF87AA" w14:textId="77777777" w:rsidR="00917C52" w:rsidRPr="0033349B" w:rsidRDefault="00917C52" w:rsidP="00917C52">
            <w:pPr>
              <w:rPr>
                <w:sz w:val="16"/>
                <w:szCs w:val="16"/>
              </w:rPr>
            </w:pPr>
            <w:r w:rsidRPr="0033349B">
              <w:rPr>
                <w:sz w:val="16"/>
                <w:szCs w:val="16"/>
              </w:rPr>
              <w:t>2D Vision Baseline</w:t>
            </w:r>
          </w:p>
        </w:tc>
        <w:tc>
          <w:tcPr>
            <w:tcW w:w="61.15pt" w:type="dxa"/>
            <w:tcBorders>
              <w:top w:val="single" w:sz="2" w:space="0" w:color="auto"/>
              <w:start w:val="single" w:sz="2" w:space="0" w:color="auto"/>
              <w:bottom w:val="single" w:sz="2" w:space="0" w:color="auto"/>
              <w:end w:val="single" w:sz="2" w:space="0" w:color="auto"/>
            </w:tcBorders>
            <w:vAlign w:val="center"/>
          </w:tcPr>
          <w:p w14:paraId="7FF433A9" w14:textId="5855D461" w:rsidR="00917C52" w:rsidRPr="0033349B" w:rsidRDefault="00917C52" w:rsidP="00917C52">
            <w:pPr>
              <w:pStyle w:val="tablecolsubhead"/>
              <w:rPr>
                <w:b w:val="0"/>
                <w:bCs w:val="0"/>
                <w:i w:val="0"/>
                <w:iCs w:val="0"/>
              </w:rPr>
            </w:pPr>
            <w:r w:rsidRPr="00917C52">
              <w:rPr>
                <w:b w:val="0"/>
                <w:bCs w:val="0"/>
                <w:i w:val="0"/>
                <w:iCs w:val="0"/>
              </w:rPr>
              <w:t>24.8</w:t>
            </w:r>
          </w:p>
        </w:tc>
        <w:tc>
          <w:tcPr>
            <w:tcW w:w="45pt" w:type="dxa"/>
            <w:tcBorders>
              <w:top w:val="single" w:sz="2" w:space="0" w:color="auto"/>
              <w:start w:val="single" w:sz="2" w:space="0" w:color="auto"/>
              <w:bottom w:val="single" w:sz="2" w:space="0" w:color="auto"/>
              <w:end w:val="single" w:sz="2" w:space="0" w:color="auto"/>
            </w:tcBorders>
            <w:vAlign w:val="center"/>
          </w:tcPr>
          <w:p w14:paraId="566ECF5B" w14:textId="359387E2" w:rsidR="00917C52" w:rsidRPr="0033349B" w:rsidRDefault="00917C52" w:rsidP="00917C52">
            <w:pPr>
              <w:pStyle w:val="tablecolsubhead"/>
              <w:rPr>
                <w:b w:val="0"/>
                <w:bCs w:val="0"/>
                <w:i w:val="0"/>
                <w:iCs w:val="0"/>
              </w:rPr>
            </w:pPr>
            <w:r>
              <w:rPr>
                <w:b w:val="0"/>
                <w:bCs w:val="0"/>
                <w:i w:val="0"/>
                <w:iCs w:val="0"/>
              </w:rPr>
              <w:t>21.3</w:t>
            </w:r>
          </w:p>
        </w:tc>
        <w:tc>
          <w:tcPr>
            <w:tcW w:w="45pt" w:type="dxa"/>
            <w:tcBorders>
              <w:top w:val="single" w:sz="2" w:space="0" w:color="auto"/>
              <w:start w:val="single" w:sz="2" w:space="0" w:color="auto"/>
              <w:bottom w:val="single" w:sz="2" w:space="0" w:color="auto"/>
              <w:end w:val="single" w:sz="2" w:space="0" w:color="auto"/>
            </w:tcBorders>
            <w:vAlign w:val="center"/>
          </w:tcPr>
          <w:p w14:paraId="7415C4BA" w14:textId="1C5A4661" w:rsidR="00917C52" w:rsidRPr="0033349B" w:rsidRDefault="009D2243" w:rsidP="00917C52">
            <w:pPr>
              <w:pStyle w:val="tablecolsubhead"/>
              <w:rPr>
                <w:b w:val="0"/>
                <w:bCs w:val="0"/>
                <w:i w:val="0"/>
                <w:iCs w:val="0"/>
              </w:rPr>
            </w:pPr>
            <w:r>
              <w:rPr>
                <w:b w:val="0"/>
                <w:bCs w:val="0"/>
                <w:i w:val="0"/>
                <w:iCs w:val="0"/>
              </w:rPr>
              <w:t>35</w:t>
            </w:r>
            <w:r w:rsidR="00917C52" w:rsidRPr="0033349B">
              <w:rPr>
                <w:b w:val="0"/>
                <w:bCs w:val="0"/>
                <w:i w:val="0"/>
                <w:iCs w:val="0"/>
              </w:rPr>
              <w:t>.6</w:t>
            </w:r>
          </w:p>
        </w:tc>
      </w:tr>
      <w:tr w:rsidR="0033349B" w:rsidRPr="0033349B" w14:paraId="209A26F9" w14:textId="77777777" w:rsidTr="0033349B">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78C97410" w14:textId="77777777" w:rsidR="0033349B" w:rsidRPr="0033349B" w:rsidRDefault="0033349B" w:rsidP="0033349B">
            <w:pPr>
              <w:rPr>
                <w:b/>
                <w:bCs/>
                <w:sz w:val="16"/>
                <w:szCs w:val="16"/>
              </w:rPr>
            </w:pPr>
            <w:r w:rsidRPr="0033349B">
              <w:rPr>
                <w:sz w:val="16"/>
                <w:szCs w:val="16"/>
              </w:rPr>
              <w:t>Geometric</w:t>
            </w:r>
            <w:r w:rsidRPr="0033349B">
              <w:rPr>
                <w:b/>
                <w:bCs/>
                <w:sz w:val="16"/>
                <w:szCs w:val="16"/>
              </w:rPr>
              <w:t>-</w:t>
            </w:r>
            <w:r w:rsidRPr="0033349B">
              <w:rPr>
                <w:sz w:val="16"/>
                <w:szCs w:val="16"/>
              </w:rPr>
              <w:t>Only</w:t>
            </w:r>
            <w:r w:rsidRPr="0033349B">
              <w:rPr>
                <w:b/>
                <w:bCs/>
                <w:sz w:val="16"/>
                <w:szCs w:val="16"/>
              </w:rPr>
              <w:t xml:space="preserve"> </w:t>
            </w:r>
            <w:r w:rsidRPr="0033349B">
              <w:rPr>
                <w:sz w:val="16"/>
                <w:szCs w:val="16"/>
              </w:rPr>
              <w:t>Baseline</w:t>
            </w:r>
          </w:p>
        </w:tc>
        <w:tc>
          <w:tcPr>
            <w:tcW w:w="61.15pt" w:type="dxa"/>
            <w:tcBorders>
              <w:top w:val="single" w:sz="2" w:space="0" w:color="auto"/>
              <w:start w:val="single" w:sz="2" w:space="0" w:color="auto"/>
              <w:bottom w:val="single" w:sz="2" w:space="0" w:color="auto"/>
              <w:end w:val="single" w:sz="2" w:space="0" w:color="auto"/>
            </w:tcBorders>
            <w:vAlign w:val="center"/>
          </w:tcPr>
          <w:p w14:paraId="63767376" w14:textId="0F5EF58E" w:rsidR="0033349B" w:rsidRPr="0033349B" w:rsidRDefault="009D2243" w:rsidP="0033349B">
            <w:pPr>
              <w:pStyle w:val="tablecolsubhead"/>
              <w:rPr>
                <w:b w:val="0"/>
                <w:bCs w:val="0"/>
                <w:i w:val="0"/>
                <w:iCs w:val="0"/>
              </w:rPr>
            </w:pPr>
            <w:r>
              <w:rPr>
                <w:b w:val="0"/>
                <w:bCs w:val="0"/>
                <w:i w:val="0"/>
                <w:iCs w:val="0"/>
              </w:rPr>
              <w:t>33.9</w:t>
            </w:r>
          </w:p>
        </w:tc>
        <w:tc>
          <w:tcPr>
            <w:tcW w:w="45pt" w:type="dxa"/>
            <w:tcBorders>
              <w:top w:val="single" w:sz="2" w:space="0" w:color="auto"/>
              <w:start w:val="single" w:sz="2" w:space="0" w:color="auto"/>
              <w:bottom w:val="single" w:sz="2" w:space="0" w:color="auto"/>
              <w:end w:val="single" w:sz="2" w:space="0" w:color="auto"/>
            </w:tcBorders>
            <w:vAlign w:val="center"/>
          </w:tcPr>
          <w:p w14:paraId="52386B21" w14:textId="2B067D13" w:rsidR="0033349B" w:rsidRPr="0033349B" w:rsidRDefault="009D2243" w:rsidP="0033349B">
            <w:pPr>
              <w:pStyle w:val="tablecolsubhead"/>
              <w:rPr>
                <w:b w:val="0"/>
                <w:bCs w:val="0"/>
                <w:i w:val="0"/>
                <w:iCs w:val="0"/>
              </w:rPr>
            </w:pPr>
            <w:r>
              <w:rPr>
                <w:b w:val="0"/>
                <w:bCs w:val="0"/>
                <w:i w:val="0"/>
                <w:iCs w:val="0"/>
              </w:rPr>
              <w:t>29.4</w:t>
            </w:r>
          </w:p>
        </w:tc>
        <w:tc>
          <w:tcPr>
            <w:tcW w:w="45pt" w:type="dxa"/>
            <w:tcBorders>
              <w:top w:val="single" w:sz="2" w:space="0" w:color="auto"/>
              <w:start w:val="single" w:sz="2" w:space="0" w:color="auto"/>
              <w:bottom w:val="single" w:sz="2" w:space="0" w:color="auto"/>
              <w:end w:val="single" w:sz="2" w:space="0" w:color="auto"/>
            </w:tcBorders>
            <w:vAlign w:val="center"/>
          </w:tcPr>
          <w:p w14:paraId="5972B517" w14:textId="214677A7" w:rsidR="0033349B" w:rsidRPr="0033349B" w:rsidRDefault="009D2243" w:rsidP="0033349B">
            <w:pPr>
              <w:pStyle w:val="tablecolsubhead"/>
              <w:rPr>
                <w:b w:val="0"/>
                <w:bCs w:val="0"/>
                <w:i w:val="0"/>
                <w:iCs w:val="0"/>
              </w:rPr>
            </w:pPr>
            <w:r>
              <w:rPr>
                <w:b w:val="0"/>
                <w:bCs w:val="0"/>
                <w:i w:val="0"/>
                <w:iCs w:val="0"/>
              </w:rPr>
              <w:t>21.9</w:t>
            </w:r>
          </w:p>
        </w:tc>
      </w:tr>
      <w:tr w:rsidR="0033349B" w:rsidRPr="0033349B" w14:paraId="2110CC30" w14:textId="77777777" w:rsidTr="0033349B">
        <w:trPr>
          <w:cantSplit/>
          <w:trHeight w:val="240"/>
          <w:tblHeader/>
          <w:jc w:val="center"/>
        </w:trPr>
        <w:tc>
          <w:tcPr>
            <w:tcW w:w="99.10pt" w:type="dxa"/>
            <w:tcBorders>
              <w:top w:val="single" w:sz="2" w:space="0" w:color="auto"/>
              <w:start w:val="single" w:sz="2" w:space="0" w:color="auto"/>
              <w:bottom w:val="single" w:sz="2" w:space="0" w:color="auto"/>
              <w:end w:val="single" w:sz="2" w:space="0" w:color="auto"/>
            </w:tcBorders>
          </w:tcPr>
          <w:p w14:paraId="54D5DC59" w14:textId="77777777" w:rsidR="0033349B" w:rsidRPr="0033349B" w:rsidRDefault="0033349B" w:rsidP="0033349B">
            <w:pPr>
              <w:rPr>
                <w:sz w:val="16"/>
                <w:szCs w:val="16"/>
              </w:rPr>
            </w:pPr>
            <w:r w:rsidRPr="0033349B">
              <w:rPr>
                <w:sz w:val="16"/>
                <w:szCs w:val="16"/>
              </w:rPr>
              <w:t>Full Hybrid System (Ours)</w:t>
            </w:r>
          </w:p>
        </w:tc>
        <w:tc>
          <w:tcPr>
            <w:tcW w:w="61.15pt" w:type="dxa"/>
            <w:tcBorders>
              <w:top w:val="single" w:sz="2" w:space="0" w:color="auto"/>
              <w:start w:val="single" w:sz="2" w:space="0" w:color="auto"/>
              <w:bottom w:val="single" w:sz="2" w:space="0" w:color="auto"/>
              <w:end w:val="single" w:sz="2" w:space="0" w:color="auto"/>
            </w:tcBorders>
            <w:vAlign w:val="center"/>
          </w:tcPr>
          <w:p w14:paraId="2B731D85" w14:textId="51B35B9D" w:rsidR="0033349B" w:rsidRPr="0033349B" w:rsidRDefault="009D2243" w:rsidP="0033349B">
            <w:pPr>
              <w:pStyle w:val="tablecolsubhead"/>
              <w:rPr>
                <w:b w:val="0"/>
                <w:bCs w:val="0"/>
                <w:i w:val="0"/>
                <w:iCs w:val="0"/>
              </w:rPr>
            </w:pPr>
            <w:r>
              <w:rPr>
                <w:b w:val="0"/>
                <w:bCs w:val="0"/>
                <w:i w:val="0"/>
                <w:iCs w:val="0"/>
              </w:rPr>
              <w:t>41</w:t>
            </w:r>
            <w:r w:rsidR="0033349B" w:rsidRPr="0033349B">
              <w:rPr>
                <w:b w:val="0"/>
                <w:bCs w:val="0"/>
                <w:i w:val="0"/>
                <w:iCs w:val="0"/>
              </w:rPr>
              <w:t>.</w:t>
            </w:r>
            <w:r>
              <w:rPr>
                <w:b w:val="0"/>
                <w:bCs w:val="0"/>
                <w:i w:val="0"/>
                <w:iCs w:val="0"/>
              </w:rPr>
              <w:t>3</w:t>
            </w:r>
            <w:r w:rsidR="0033349B" w:rsidRPr="0033349B">
              <w:rPr>
                <w:b w:val="0"/>
                <w:bCs w:val="0"/>
                <w:i w:val="0"/>
                <w:iCs w:val="0"/>
              </w:rPr>
              <w:t xml:space="preserve"> (+8.4)</w:t>
            </w:r>
          </w:p>
        </w:tc>
        <w:tc>
          <w:tcPr>
            <w:tcW w:w="45pt" w:type="dxa"/>
            <w:tcBorders>
              <w:top w:val="single" w:sz="2" w:space="0" w:color="auto"/>
              <w:start w:val="single" w:sz="2" w:space="0" w:color="auto"/>
              <w:bottom w:val="single" w:sz="2" w:space="0" w:color="auto"/>
              <w:end w:val="single" w:sz="2" w:space="0" w:color="auto"/>
            </w:tcBorders>
            <w:vAlign w:val="center"/>
          </w:tcPr>
          <w:p w14:paraId="7A405353" w14:textId="3947958F" w:rsidR="0033349B" w:rsidRPr="0033349B" w:rsidRDefault="009D2243" w:rsidP="0033349B">
            <w:pPr>
              <w:pStyle w:val="tablecolsubhead"/>
              <w:rPr>
                <w:b w:val="0"/>
                <w:bCs w:val="0"/>
                <w:i w:val="0"/>
                <w:iCs w:val="0"/>
              </w:rPr>
            </w:pPr>
            <w:r>
              <w:rPr>
                <w:b w:val="0"/>
                <w:bCs w:val="0"/>
                <w:i w:val="0"/>
                <w:iCs w:val="0"/>
              </w:rPr>
              <w:t>37</w:t>
            </w:r>
            <w:r w:rsidR="0033349B" w:rsidRPr="0033349B">
              <w:rPr>
                <w:b w:val="0"/>
                <w:bCs w:val="0"/>
                <w:i w:val="0"/>
                <w:iCs w:val="0"/>
              </w:rPr>
              <w:t>.5</w:t>
            </w:r>
          </w:p>
        </w:tc>
        <w:tc>
          <w:tcPr>
            <w:tcW w:w="45pt" w:type="dxa"/>
            <w:tcBorders>
              <w:top w:val="single" w:sz="2" w:space="0" w:color="auto"/>
              <w:start w:val="single" w:sz="2" w:space="0" w:color="auto"/>
              <w:bottom w:val="single" w:sz="2" w:space="0" w:color="auto"/>
              <w:end w:val="single" w:sz="2" w:space="0" w:color="auto"/>
            </w:tcBorders>
            <w:vAlign w:val="center"/>
          </w:tcPr>
          <w:p w14:paraId="10C99975" w14:textId="6E45B0E2" w:rsidR="0033349B" w:rsidRPr="0033349B" w:rsidRDefault="009D2243" w:rsidP="0033349B">
            <w:pPr>
              <w:pStyle w:val="tablecolsubhead"/>
              <w:rPr>
                <w:b w:val="0"/>
                <w:bCs w:val="0"/>
                <w:i w:val="0"/>
                <w:iCs w:val="0"/>
              </w:rPr>
            </w:pPr>
            <w:r>
              <w:rPr>
                <w:b w:val="0"/>
                <w:bCs w:val="0"/>
                <w:i w:val="0"/>
                <w:iCs w:val="0"/>
              </w:rPr>
              <w:t>46</w:t>
            </w:r>
            <w:r w:rsidR="0033349B" w:rsidRPr="0033349B">
              <w:rPr>
                <w:b w:val="0"/>
                <w:bCs w:val="0"/>
                <w:i w:val="0"/>
                <w:iCs w:val="0"/>
              </w:rPr>
              <w:t>.1</w:t>
            </w:r>
          </w:p>
        </w:tc>
      </w:tr>
    </w:tbl>
    <w:p w14:paraId="59F326B9" w14:textId="6A8E692F" w:rsidR="00383857" w:rsidRDefault="00E90E27" w:rsidP="00383857">
      <w:pPr>
        <w:pStyle w:val="BodyText"/>
        <w:ind w:firstLine="0pt"/>
        <w:rPr>
          <w:lang w:val="en-IN"/>
        </w:rPr>
      </w:pPr>
      <w:r>
        <w:rPr>
          <w:lang w:val="en-IN"/>
        </w:rPr>
        <w:t xml:space="preserve"> </w:t>
      </w:r>
    </w:p>
    <w:p w14:paraId="6782D7FC" w14:textId="72BFE25B" w:rsidR="00A76770" w:rsidRPr="00BD523B" w:rsidRDefault="00A76770" w:rsidP="00383857">
      <w:pPr>
        <w:pStyle w:val="BodyText"/>
        <w:ind w:firstLine="0pt"/>
        <w:rPr>
          <w:lang w:val="en-IN"/>
        </w:rPr>
      </w:pPr>
      <w:r>
        <w:rPr>
          <w:noProof/>
          <w:lang w:val="en-IN"/>
        </w:rPr>
        <w:drawing>
          <wp:inline distT="0" distB="0" distL="0" distR="0" wp14:anchorId="465BA369" wp14:editId="6F3C427C">
            <wp:extent cx="3195955" cy="2748280"/>
            <wp:effectExtent l="0" t="0" r="4445" b="0"/>
            <wp:docPr id="121329378"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1329378" name="Picture 1213293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5955" cy="2748280"/>
                    </a:xfrm>
                    <a:prstGeom prst="rect">
                      <a:avLst/>
                    </a:prstGeom>
                  </pic:spPr>
                </pic:pic>
              </a:graphicData>
            </a:graphic>
          </wp:inline>
        </w:drawing>
      </w:r>
    </w:p>
    <w:p w14:paraId="0A6D5F69" w14:textId="77777777" w:rsidR="00BD523B" w:rsidRPr="00BD523B" w:rsidRDefault="00BD523B" w:rsidP="00BD523B">
      <w:pPr>
        <w:pStyle w:val="BodyText"/>
        <w:rPr>
          <w:noProof/>
          <w:lang w:val="en-IN"/>
        </w:rPr>
      </w:pPr>
      <w:r w:rsidRPr="00BD523B">
        <w:rPr>
          <w:noProof/>
          <w:lang w:val="en-IN"/>
        </w:rPr>
        <w:t>I-JEPA is integrated as a structure-aware decision module within the continuous navigation loop. Rather than modifying the occupancy grid directly, I-JEPA provides directional continuity and structural risk estimates for candidate turn actions. These predictions are fused into the low-level control law by introducing a discrete angular velocity bias favoring the safer, more continuous direction. Specifically, the agent’s angular velocity is computed as a proportional yaw controller augmented with an I-JEPA-derived bias:</w:t>
      </w:r>
    </w:p>
    <w:p w14:paraId="20F1F6E5" w14:textId="71313686" w:rsidR="00BD523B" w:rsidRPr="00BD523B" w:rsidRDefault="00BD523B" w:rsidP="00BD523B">
      <w:pPr>
        <w:pStyle w:val="BodyText"/>
        <w:rPr>
          <w:noProof/>
          <w:lang w:val="en-IN"/>
        </w:rPr>
      </w:pPr>
      <m:oMathPara>
        <m:oMath>
          <m:r>
            <m:rPr>
              <m:sty m:val="p"/>
            </m:rPr>
            <w:rPr>
              <w:rFonts w:ascii="Cambria Math" w:hAnsi="Cambria Math"/>
              <w:noProof/>
              <w:lang w:val="en-IN"/>
            </w:rPr>
            <m:t>ω=clip(2.0⋅</m:t>
          </m:r>
          <m:sSub>
            <m:sSubPr>
              <m:ctrlPr>
                <w:rPr>
                  <w:rFonts w:ascii="Cambria Math" w:hAnsi="Cambria Math"/>
                  <w:noProof/>
                  <w:lang w:val="en-IN"/>
                </w:rPr>
              </m:ctrlPr>
            </m:sSubPr>
            <m:e>
              <m:r>
                <m:rPr>
                  <m:sty m:val="p"/>
                </m:rPr>
                <w:rPr>
                  <w:rFonts w:ascii="Cambria Math" w:hAnsi="Cambria Math"/>
                  <w:noProof/>
                  <w:lang w:val="en-IN"/>
                </w:rPr>
                <m:t>e</m:t>
              </m:r>
            </m:e>
            <m:sub>
              <m:r>
                <m:rPr>
                  <m:sty m:val="p"/>
                </m:rPr>
                <w:rPr>
                  <w:rFonts w:ascii="Cambria Math" w:hAnsi="Cambria Math"/>
                  <w:noProof/>
                  <w:lang w:val="en-IN"/>
                </w:rPr>
                <m:t>yaw</m:t>
              </m:r>
            </m:sub>
          </m:sSub>
          <m:r>
            <m:rPr>
              <m:sty m:val="p"/>
            </m:rPr>
            <w:rPr>
              <w:rFonts w:ascii="Cambria Math" w:hAnsi="Cambria Math"/>
              <w:noProof/>
              <w:lang w:val="en-IN"/>
            </w:rPr>
            <m:t>+</m:t>
          </m:r>
          <m:sSub>
            <m:sSubPr>
              <m:ctrlPr>
                <w:rPr>
                  <w:rFonts w:ascii="Cambria Math" w:hAnsi="Cambria Math"/>
                  <w:noProof/>
                  <w:lang w:val="en-IN"/>
                </w:rPr>
              </m:ctrlPr>
            </m:sSubPr>
            <m:e>
              <m:r>
                <m:rPr>
                  <m:sty m:val="p"/>
                </m:rPr>
                <w:rPr>
                  <w:rFonts w:ascii="Cambria Math" w:hAnsi="Cambria Math"/>
                  <w:noProof/>
                  <w:lang w:val="en-IN"/>
                </w:rPr>
                <m:t>b</m:t>
              </m:r>
            </m:e>
            <m:sub>
              <m:r>
                <m:rPr>
                  <m:sty m:val="p"/>
                </m:rPr>
                <w:rPr>
                  <w:rFonts w:ascii="Cambria Math" w:hAnsi="Cambria Math"/>
                  <w:noProof/>
                  <w:lang w:val="en-IN"/>
                </w:rPr>
                <m:t>ijepa</m:t>
              </m:r>
            </m:sub>
          </m:sSub>
          <m:r>
            <m:rPr>
              <m:sty m:val="p"/>
            </m:rPr>
            <w:rPr>
              <w:rFonts w:ascii="Cambria Math" w:hAnsi="Cambria Math"/>
              <w:noProof/>
              <w:lang w:val="en-IN"/>
            </w:rPr>
            <m:t>,±</m:t>
          </m:r>
          <m:sSub>
            <m:sSubPr>
              <m:ctrlPr>
                <w:rPr>
                  <w:rFonts w:ascii="Cambria Math" w:hAnsi="Cambria Math"/>
                  <w:noProof/>
                  <w:lang w:val="en-IN"/>
                </w:rPr>
              </m:ctrlPr>
            </m:sSubPr>
            <m:e>
              <m:r>
                <m:rPr>
                  <m:sty m:val="p"/>
                </m:rPr>
                <w:rPr>
                  <w:rFonts w:ascii="Cambria Math" w:hAnsi="Cambria Math"/>
                  <w:noProof/>
                  <w:lang w:val="en-IN"/>
                </w:rPr>
                <m:t>ω</m:t>
              </m:r>
            </m:e>
            <m:sub>
              <m:r>
                <m:rPr>
                  <m:sty m:val="p"/>
                </m:rPr>
                <w:rPr>
                  <w:rFonts w:ascii="Cambria Math" w:hAnsi="Cambria Math"/>
                  <w:noProof/>
                  <w:lang w:val="en-IN"/>
                </w:rPr>
                <m:t>max</m:t>
              </m:r>
            </m:sub>
          </m:sSub>
          <m:r>
            <m:rPr>
              <m:sty m:val="p"/>
            </m:rPr>
            <w:rPr>
              <w:rFonts w:ascii="Cambria Math" w:hAnsi="Cambria Math"/>
              <w:noProof/>
              <w:lang w:val="en-IN"/>
            </w:rPr>
            <m:t>)</m:t>
          </m:r>
          <m:r>
            <w:rPr>
              <w:noProof/>
              <w:lang w:val="en-IN"/>
            </w:rPr>
            <w:br/>
          </m:r>
        </m:oMath>
      </m:oMathPara>
    </w:p>
    <w:p w14:paraId="7D99680F" w14:textId="069EC643" w:rsidR="00BD523B" w:rsidRPr="00BD523B" w:rsidRDefault="00BD523B" w:rsidP="00BD523B">
      <w:pPr>
        <w:pStyle w:val="BodyText"/>
        <w:rPr>
          <w:noProof/>
          <w:lang w:val="en-IN"/>
        </w:rPr>
      </w:pPr>
      <w:r w:rsidRPr="00BD523B">
        <w:rPr>
          <w:noProof/>
          <w:lang w:val="en-IN"/>
        </w:rPr>
        <w:t xml:space="preserve">where </w:t>
      </w:r>
      <m:oMath>
        <m:sSub>
          <m:sSubPr>
            <m:ctrlPr>
              <w:rPr>
                <w:rFonts w:ascii="Cambria Math" w:hAnsi="Cambria Math"/>
                <w:noProof/>
                <w:lang w:val="en-IN"/>
              </w:rPr>
            </m:ctrlPr>
          </m:sSubPr>
          <m:e>
            <m:r>
              <m:rPr>
                <m:sty m:val="p"/>
              </m:rPr>
              <w:rPr>
                <w:rFonts w:ascii="Cambria Math" w:hAnsi="Cambria Math"/>
                <w:noProof/>
                <w:lang w:val="en-IN"/>
              </w:rPr>
              <m:t>b</m:t>
            </m:r>
          </m:e>
          <m:sub>
            <m:r>
              <m:rPr>
                <m:sty m:val="p"/>
              </m:rPr>
              <w:rPr>
                <w:rFonts w:ascii="Cambria Math" w:hAnsi="Cambria Math"/>
                <w:noProof/>
                <w:lang w:val="en-IN"/>
              </w:rPr>
              <m:t>ijepa</m:t>
            </m:r>
          </m:sub>
        </m:sSub>
        <m:r>
          <m:rPr>
            <m:sty m:val="p"/>
          </m:rPr>
          <w:rPr>
            <w:rFonts w:ascii="Cambria Math" w:hAnsi="Cambria Math"/>
            <w:noProof/>
            <w:lang w:val="en-IN"/>
          </w:rPr>
          <m:t>∈{-0.4,0,+0.4}</m:t>
        </m:r>
      </m:oMath>
      <w:r w:rsidRPr="00BD523B">
        <w:rPr>
          <w:noProof/>
          <w:lang w:val="en-IN"/>
        </w:rPr>
        <w:t>is selected based on relative continuity and risk scores. This allows the agent to exploit learned structural priors while preserving geometric stability. Collision recovery and stuck escape remain geometry-driven, with I-JEPA influencing direction selection only when conventional heuristics are ambiguous.</w:t>
      </w:r>
    </w:p>
    <w:p w14:paraId="681D1EA9" w14:textId="3AA1A826" w:rsidR="00BD523B" w:rsidRPr="00BD523B" w:rsidRDefault="00BD523B" w:rsidP="00BD523B">
      <w:pPr>
        <w:pStyle w:val="BodyText"/>
        <w:rPr>
          <w:lang w:val="en-IN"/>
        </w:rPr>
      </w:pPr>
      <w:r w:rsidRPr="00BD523B">
        <w:rPr>
          <w:lang w:val="en-IN"/>
        </w:rPr>
        <w:t>Ablation of the I-JEPA module disables the system’s adaptive structural reasoning, forcing a total reliance on static geometric heuristics. Without I-JEPA’s directional continuity and risk estimates, the system loses the ability to apply a structure-aware angular velocity bias ($b_{</w:t>
      </w:r>
      <w:proofErr w:type="spellStart"/>
      <w:r w:rsidRPr="00BD523B">
        <w:rPr>
          <w:lang w:val="en-IN"/>
        </w:rPr>
        <w:t>ijepa</w:t>
      </w:r>
      <w:proofErr w:type="spellEnd"/>
      <w:r w:rsidRPr="00BD523B">
        <w:rPr>
          <w:lang w:val="en-IN"/>
        </w:rPr>
        <w:t>}$). In continuous navigation, this removal forces the robot to stick rigidly to purely goal-directed vectors, lacking the learned "anticipation" of scene transitions that normally promotes smoother movement through open spaces.</w:t>
      </w:r>
      <w:r>
        <w:rPr>
          <w:lang w:val="en-IN"/>
        </w:rPr>
        <w:t xml:space="preserve"> </w:t>
      </w:r>
      <w:r w:rsidRPr="00BD523B">
        <w:rPr>
          <w:lang w:val="en-IN"/>
        </w:rPr>
        <w:t xml:space="preserve">Most critically, the loss of I-JEPA-informed bias during collision recovery limits the robot’s ability to select the most structurally stable escape direction when geometric tangents are ambiguous. This leads to </w:t>
      </w:r>
      <w:r w:rsidRPr="00BD523B">
        <w:rPr>
          <w:lang w:val="en-IN"/>
        </w:rPr>
        <w:t xml:space="preserve">a significantly higher rate of re-planning events and entrapment in complex geometries where purely reactive geometric strategies are insufficient. This ablation confirms that I-JEPA-derived structural priors are essential for modulating navigation fluidity and providing a stable fallback during high-risk recovery </w:t>
      </w:r>
      <w:proofErr w:type="spellStart"/>
      <w:r w:rsidRPr="00BD523B">
        <w:rPr>
          <w:lang w:val="en-IN"/>
        </w:rPr>
        <w:t>maneuv</w:t>
      </w:r>
      <w:r>
        <w:rPr>
          <w:lang w:val="en-IN"/>
        </w:rPr>
        <w:t>e</w:t>
      </w:r>
      <w:r w:rsidRPr="00BD523B">
        <w:rPr>
          <w:lang w:val="en-IN"/>
        </w:rPr>
        <w:t>rs</w:t>
      </w:r>
      <w:proofErr w:type="spellEnd"/>
      <w:r w:rsidRPr="00BD523B">
        <w:rPr>
          <w:lang w:val="en-IN"/>
        </w:rPr>
        <w:t xml:space="preserve"> in unseen layouts.</w:t>
      </w:r>
    </w:p>
    <w:p w14:paraId="18253CD5" w14:textId="77777777" w:rsidR="00B27653" w:rsidRPr="00F27D82" w:rsidRDefault="00B27653" w:rsidP="00F27D82">
      <w:pPr>
        <w:pStyle w:val="BodyText"/>
        <w:rPr>
          <w:lang w:val="en-IN"/>
        </w:rPr>
      </w:pPr>
    </w:p>
    <w:p w14:paraId="25E97475" w14:textId="0B156F65" w:rsidR="00F27D82" w:rsidRDefault="00F27D82" w:rsidP="00F27D82">
      <w:pPr>
        <w:pStyle w:val="Heading2"/>
        <w:rPr>
          <w:lang w:val="en-IN"/>
        </w:rPr>
      </w:pPr>
      <w:r w:rsidRPr="00F27D82">
        <w:rPr>
          <w:lang w:val="en-IN"/>
        </w:rPr>
        <w:t>Reasoning Robustness through Multi-</w:t>
      </w:r>
      <w:r w:rsidR="00AB4E25">
        <w:rPr>
          <w:lang w:val="en-IN"/>
        </w:rPr>
        <w:t>Stage</w:t>
      </w:r>
      <w:r w:rsidRPr="00F27D82">
        <w:rPr>
          <w:lang w:val="en-IN"/>
        </w:rPr>
        <w:t xml:space="preserve"> Planning </w:t>
      </w:r>
    </w:p>
    <w:p w14:paraId="4F659554" w14:textId="6E1ECFCE" w:rsidR="00F326FB" w:rsidRDefault="00F326FB" w:rsidP="00F326FB">
      <w:pPr>
        <w:ind w:firstLine="14.40pt"/>
        <w:jc w:val="both"/>
        <w:rPr>
          <w:spacing w:val="-1"/>
          <w:lang w:val="en-IN" w:eastAsia="x-none"/>
        </w:rPr>
      </w:pPr>
      <w:r w:rsidRPr="00F326FB">
        <w:rPr>
          <w:spacing w:val="-1"/>
          <w:lang w:val="en-IN" w:eastAsia="x-none"/>
        </w:rPr>
        <w:t xml:space="preserve">The </w:t>
      </w:r>
      <w:r w:rsidR="00B27653">
        <w:rPr>
          <w:spacing w:val="-1"/>
          <w:lang w:val="en-IN" w:eastAsia="x-none"/>
        </w:rPr>
        <w:t>Reasoning</w:t>
      </w:r>
      <w:r w:rsidRPr="00F326FB">
        <w:rPr>
          <w:spacing w:val="-1"/>
          <w:lang w:val="en-IN" w:eastAsia="x-none"/>
        </w:rPr>
        <w:t xml:space="preserve"> module enhances navigation robustness through hierarchical, multi-stage planning. It first analy</w:t>
      </w:r>
      <w:r>
        <w:rPr>
          <w:spacing w:val="-1"/>
          <w:lang w:val="en-IN" w:eastAsia="x-none"/>
        </w:rPr>
        <w:t>s</w:t>
      </w:r>
      <w:r w:rsidRPr="00F326FB">
        <w:rPr>
          <w:spacing w:val="-1"/>
          <w:lang w:val="en-IN" w:eastAsia="x-none"/>
        </w:rPr>
        <w:t>es mission context, environmental constraints, and risk predictions from integrated stores to select an optimal high-level search strategy—such as proximity-first, priority-first, systematic, or room-based exploration. This strategic decision is then passed to a second reasoning stage, which generates a detailed, actionable plan comprising specific object sequences and search patterns. The system evaluates multiple strategic alternatives, preserves a complete reasoning chain for transparency, and provides confidence-scored outputs. This two-stage architecture injects commonsense and adaptability into geometric navigation, reducing reactive errors and generating context-aware, goal-directed behavio</w:t>
      </w:r>
      <w:r>
        <w:rPr>
          <w:spacing w:val="-1"/>
          <w:lang w:val="en-IN" w:eastAsia="x-none"/>
        </w:rPr>
        <w:t>u</w:t>
      </w:r>
      <w:r w:rsidRPr="00F326FB">
        <w:rPr>
          <w:spacing w:val="-1"/>
          <w:lang w:val="en-IN" w:eastAsia="x-none"/>
        </w:rPr>
        <w:t>r from fused multi-modal data.</w:t>
      </w:r>
    </w:p>
    <w:p w14:paraId="3469F2E4" w14:textId="3AC37E9D" w:rsidR="00383857" w:rsidRPr="00F27D82" w:rsidRDefault="00036045" w:rsidP="00F27D82">
      <w:pPr>
        <w:pStyle w:val="BodyText"/>
        <w:rPr>
          <w:lang w:val="en-IN"/>
        </w:rPr>
      </w:pPr>
      <w:r w:rsidRPr="00036045">
        <w:rPr>
          <w:lang w:val="en-US"/>
        </w:rPr>
        <w:t>Ablation of the hierarchical Reasoning module forces the system to default to a naive, frontier-based exploration heuristic, resulting in a complete loss of strategic mission adaptability. Without the two-stage LLM planning process, the agent is unable to evaluate environmental context or select between proximity-first or priority-first search strategies, leading to aimless trajectories that ignore semantic object distributions. The removal of the reasoning chain eliminates the high-level coordination between mission intent and spatial execution, causing a significant increase in path redundancy and a degradation in SPL as the robot fails to prioritize high-probability target zones. This indicates that while the low-level geometric stack maintains local stability, the Reasoning module is the critical component for injecting common-sense logic and context-aware efficiency into long-horizon navigation tasks.</w:t>
      </w:r>
    </w:p>
    <w:p w14:paraId="1E6D8934" w14:textId="2DCB2690" w:rsidR="00AB4E25" w:rsidRPr="00A71E21" w:rsidRDefault="00A71E21" w:rsidP="00A71E21">
      <w:pPr>
        <w:pStyle w:val="Heading2"/>
        <w:numPr>
          <w:ilvl w:val="0"/>
          <w:numId w:val="0"/>
        </w:numPr>
        <w:ind w:start="17.80pt" w:hanging="14.40pt"/>
        <w:rPr>
          <w:lang w:val="en-IN"/>
        </w:rPr>
      </w:pPr>
      <w:r w:rsidRPr="00A71E21">
        <w:t>D. Context-Aware Navigation Through Semantic Mapping</w:t>
      </w:r>
    </w:p>
    <w:p w14:paraId="01E5D6DA" w14:textId="258692D7" w:rsidR="0083545D" w:rsidRPr="00F27D82" w:rsidRDefault="00A71E21" w:rsidP="00E90E27">
      <w:pPr>
        <w:pStyle w:val="BodyText"/>
        <w:rPr>
          <w:lang w:val="en-IN"/>
        </w:rPr>
      </w:pPr>
      <w:r w:rsidRPr="00A71E21">
        <w:rPr>
          <w:lang w:val="en-IN"/>
        </w:rPr>
        <w:t>The persistent semantic-geometric map enables context-aware navigation by linking recognized objects to task execution. As the robot explores, recognized objects are continuously added to the map, creating a spatial-semantic model of the environment. This map serves as persistent memory, allowing the system to recall previously observed objects and their locations even after they leave the immediate field of view. During navigation, the system queries this map to retrieve the coordinates of mission-relevant objects, directly informing goal-directed search and reducing reliance on reactive exploration. This integration of persistent semantic memory with geometric navigation transforms the robot from a reactive agent into a context-aware explorer that can strategically target known object locations within its unified spatial representation</w:t>
      </w:r>
      <w:r w:rsidR="00F27D82" w:rsidRPr="00F27D82">
        <w:rPr>
          <w:lang w:val="en-IN"/>
        </w:rPr>
        <w:t>.</w:t>
      </w:r>
    </w:p>
    <w:p w14:paraId="37070923" w14:textId="77777777" w:rsidR="00F27D82" w:rsidRDefault="00F27D82" w:rsidP="00A85B98">
      <w:pPr>
        <w:pStyle w:val="BodyText"/>
      </w:pPr>
    </w:p>
    <w:p w14:paraId="6DA62E2A" w14:textId="23D59D0E" w:rsidR="00DC4EA2" w:rsidRDefault="00DC4EA2" w:rsidP="00DC4EA2">
      <w:pPr>
        <w:pStyle w:val="Heading1"/>
      </w:pPr>
      <w:r>
        <w:t>Conclusion</w:t>
      </w:r>
    </w:p>
    <w:p w14:paraId="3960049C" w14:textId="3E20416D" w:rsidR="003F2040" w:rsidRPr="003F2040" w:rsidRDefault="003F2040" w:rsidP="003F2040">
      <w:pPr>
        <w:ind w:firstLine="36pt"/>
        <w:jc w:val="both"/>
        <w:rPr>
          <w:spacing w:val="-1"/>
          <w:lang w:val="en-IN" w:eastAsia="x-none"/>
        </w:rPr>
      </w:pPr>
      <w:r w:rsidRPr="003F2040">
        <w:rPr>
          <w:spacing w:val="-1"/>
          <w:lang w:val="en-IN" w:eastAsia="x-none"/>
        </w:rPr>
        <w:t xml:space="preserve">We introduce a comprehensive cognitive architecture that synergizes persistent semantic mapping, hierarchical task </w:t>
      </w:r>
      <w:r w:rsidRPr="003F2040">
        <w:rPr>
          <w:spacing w:val="-1"/>
          <w:lang w:val="en-IN" w:eastAsia="x-none"/>
        </w:rPr>
        <w:lastRenderedPageBreak/>
        <w:t>planning, and learned structural prediction to address embodied object search in unseen settings. The unified framework leverages a dynamically updated 3D semantic-geometric representation, a multi-stage reasoning pipeline, and real-time structural priors to outperform reactive navigation by a significant margin, as measured by Success Rate and SPL. Ablation analysis substantiates that each module distinctly elevates robustness and efficiency, collectively enabling generalized, goal-directed autonomy without environment-specific training.</w:t>
      </w:r>
    </w:p>
    <w:p w14:paraId="5FF7B839" w14:textId="6946FBFE" w:rsidR="00A71E21" w:rsidRPr="00A71E21" w:rsidRDefault="00A71E21" w:rsidP="00A71E21">
      <w:pPr>
        <w:pStyle w:val="BodyText"/>
        <w:rPr>
          <w:lang w:val="en-IN"/>
        </w:rPr>
      </w:pPr>
      <w:r>
        <w:rPr>
          <w:lang w:val="en-IN"/>
        </w:rPr>
        <w:t xml:space="preserve">                                                                                                                                                                                                                                                                                                                                                                                                                                                                                                                                                                                                                                                                                                                                                                                                                                                                                                                                                                                                                                                                                                                                                                                                                                                                                                                                                                                                                                               </w:t>
      </w:r>
    </w:p>
    <w:p w14:paraId="7E448512" w14:textId="77777777" w:rsidR="009303D9" w:rsidRDefault="009303D9" w:rsidP="00A059B3">
      <w:pPr>
        <w:pStyle w:val="Heading5"/>
      </w:pPr>
      <w:r w:rsidRPr="005B520E">
        <w:t>References</w:t>
      </w:r>
    </w:p>
    <w:p w14:paraId="762EC548" w14:textId="77777777" w:rsidR="009303D9" w:rsidRPr="005B520E" w:rsidRDefault="009303D9"/>
    <w:p w14:paraId="0779B2EB" w14:textId="4170F3A4" w:rsidR="000A0374" w:rsidRDefault="000A0374" w:rsidP="0004781E">
      <w:pPr>
        <w:pStyle w:val="references"/>
        <w:ind w:start="17.70pt" w:hanging="17.70pt"/>
      </w:pPr>
      <w:r w:rsidRPr="000A0374">
        <w:t xml:space="preserve">Arjun Majumdar, Gunjan Aggarwal, Bhavika Devnani, Judy Hoffman, and Dhruv Batra. </w:t>
      </w:r>
      <w:r w:rsidRPr="000A0374">
        <w:rPr>
          <w:i/>
          <w:iCs/>
        </w:rPr>
        <w:t>ZSON: Zero</w:t>
      </w:r>
      <w:r w:rsidRPr="000A0374">
        <w:rPr>
          <w:i/>
          <w:iCs/>
        </w:rPr>
        <w:noBreakHyphen/>
        <w:t>Shot Object</w:t>
      </w:r>
      <w:r w:rsidRPr="000A0374">
        <w:rPr>
          <w:i/>
          <w:iCs/>
        </w:rPr>
        <w:noBreakHyphen/>
        <w:t>Goal Navigation using Multimodal Goal Embeddings</w:t>
      </w:r>
      <w:r w:rsidRPr="000A0374">
        <w:t xml:space="preserve">. In NeurIPS 2022. </w:t>
      </w:r>
    </w:p>
    <w:p w14:paraId="46693B3D" w14:textId="253FBAA3" w:rsidR="009303D9" w:rsidRDefault="000A0374" w:rsidP="0004781E">
      <w:pPr>
        <w:pStyle w:val="references"/>
        <w:ind w:start="17.70pt" w:hanging="17.70pt"/>
      </w:pPr>
      <w:r w:rsidRPr="000A0374">
        <w:t xml:space="preserve">Naoki Yokoyama, Sehoon Ha, Dhruv Batra, Jiuguang Wang, and Bernadette Bucher. </w:t>
      </w:r>
      <w:r w:rsidRPr="000A0374">
        <w:rPr>
          <w:i/>
          <w:iCs/>
        </w:rPr>
        <w:t>VLFM: Vision</w:t>
      </w:r>
      <w:r w:rsidRPr="000A0374">
        <w:rPr>
          <w:i/>
          <w:iCs/>
        </w:rPr>
        <w:noBreakHyphen/>
        <w:t>Language Frontier Maps for Zero</w:t>
      </w:r>
      <w:r w:rsidRPr="000A0374">
        <w:rPr>
          <w:i/>
          <w:iCs/>
        </w:rPr>
        <w:noBreakHyphen/>
        <w:t>Shot Semantic Navigation</w:t>
      </w:r>
      <w:r w:rsidRPr="000A0374">
        <w:t xml:space="preserve">. In ICRA 2024. </w:t>
      </w:r>
    </w:p>
    <w:p w14:paraId="4E127A7C" w14:textId="3F6C0FCD" w:rsidR="009303D9" w:rsidRDefault="000A0374" w:rsidP="0004781E">
      <w:pPr>
        <w:pStyle w:val="references"/>
        <w:ind w:start="17.70pt" w:hanging="17.70pt"/>
      </w:pPr>
      <w:r w:rsidRPr="000A0374">
        <w:t xml:space="preserve">Pengying Wu, Yao Mu, Bingxian Wu, Yi Hou, Ji Ma, Shanghang Zhang, and Chang Liu. </w:t>
      </w:r>
      <w:r w:rsidRPr="000A0374">
        <w:rPr>
          <w:i/>
          <w:iCs/>
        </w:rPr>
        <w:t>VoroNav: Voronoi</w:t>
      </w:r>
      <w:r w:rsidRPr="000A0374">
        <w:rPr>
          <w:i/>
          <w:iCs/>
        </w:rPr>
        <w:noBreakHyphen/>
        <w:t>based Zero</w:t>
      </w:r>
      <w:r w:rsidRPr="000A0374">
        <w:rPr>
          <w:i/>
          <w:iCs/>
        </w:rPr>
        <w:noBreakHyphen/>
        <w:t>Shot Object Navigation with Large Language Model</w:t>
      </w:r>
      <w:r w:rsidRPr="000A0374">
        <w:t xml:space="preserve">. In </w:t>
      </w:r>
      <w:r w:rsidRPr="000A0374">
        <w:rPr>
          <w:i/>
          <w:iCs/>
        </w:rPr>
        <w:t>Proceedings of Machine Learning Research</w:t>
      </w:r>
      <w:r w:rsidRPr="000A0374">
        <w:t xml:space="preserve"> (PMLR) 235, </w:t>
      </w:r>
      <w:r>
        <w:t>2024.</w:t>
      </w:r>
    </w:p>
    <w:p w14:paraId="7CD44AD3" w14:textId="2BB45D6D" w:rsidR="000A0374" w:rsidRDefault="000A0374" w:rsidP="0004781E">
      <w:pPr>
        <w:pStyle w:val="references"/>
        <w:ind w:start="17.70pt" w:hanging="17.70pt"/>
      </w:pPr>
      <w:r w:rsidRPr="000A0374">
        <w:t xml:space="preserve">Xinyu Sun, Lizhao Liu, Hongyan Zhi, Ronghe Qiu, and Junwei Liang. </w:t>
      </w:r>
      <w:r w:rsidRPr="000A0374">
        <w:rPr>
          <w:i/>
          <w:iCs/>
        </w:rPr>
        <w:t>Prioritized Semantic Learning for Zero</w:t>
      </w:r>
      <w:r w:rsidRPr="000A0374">
        <w:rPr>
          <w:i/>
          <w:iCs/>
        </w:rPr>
        <w:noBreakHyphen/>
        <w:t>Shot Instance Navigation</w:t>
      </w:r>
      <w:r w:rsidRPr="000A0374">
        <w:t>. arXiv, 2024</w:t>
      </w:r>
      <w:r>
        <w:t>.</w:t>
      </w:r>
    </w:p>
    <w:p w14:paraId="557D0881" w14:textId="38BC1EB8" w:rsidR="000A0374" w:rsidRDefault="000A0374" w:rsidP="0004781E">
      <w:pPr>
        <w:pStyle w:val="references"/>
        <w:ind w:start="17.70pt" w:hanging="17.70pt"/>
      </w:pPr>
      <w:r w:rsidRPr="000A0374">
        <w:t xml:space="preserve">Mobin Habibpour and Fatemeh Afghah. </w:t>
      </w:r>
      <w:r w:rsidRPr="000A0374">
        <w:rPr>
          <w:i/>
          <w:iCs/>
        </w:rPr>
        <w:t>History</w:t>
      </w:r>
      <w:r w:rsidRPr="000A0374">
        <w:rPr>
          <w:i/>
          <w:iCs/>
        </w:rPr>
        <w:noBreakHyphen/>
        <w:t>Augmented Vision</w:t>
      </w:r>
      <w:r w:rsidRPr="000A0374">
        <w:rPr>
          <w:i/>
          <w:iCs/>
        </w:rPr>
        <w:noBreakHyphen/>
        <w:t>Language Models for Frontier</w:t>
      </w:r>
      <w:r w:rsidRPr="000A0374">
        <w:rPr>
          <w:i/>
          <w:iCs/>
        </w:rPr>
        <w:noBreakHyphen/>
        <w:t>Based Zero</w:t>
      </w:r>
      <w:r w:rsidRPr="000A0374">
        <w:rPr>
          <w:i/>
          <w:iCs/>
        </w:rPr>
        <w:noBreakHyphen/>
        <w:t>Shot Object Navigation</w:t>
      </w:r>
      <w:r w:rsidRPr="000A0374">
        <w:t>. arXiv, 2025</w:t>
      </w:r>
      <w:r>
        <w:t>.</w:t>
      </w:r>
    </w:p>
    <w:p w14:paraId="1F576A6E" w14:textId="77777777" w:rsidR="000A0374" w:rsidRDefault="000A0374" w:rsidP="00156B74">
      <w:pPr>
        <w:pStyle w:val="references"/>
        <w:ind w:start="17.70pt" w:hanging="17.70pt"/>
      </w:pPr>
      <w:r w:rsidRPr="000A0374">
        <w:t xml:space="preserve">Zibo Zhou, Yue Hu, Lingkai Zhang, Zonglin Li, and Siheng Chen. </w:t>
      </w:r>
      <w:r w:rsidRPr="000A0374">
        <w:rPr>
          <w:i/>
          <w:iCs/>
        </w:rPr>
        <w:t>BeliefMapNav: 3D Voxel</w:t>
      </w:r>
      <w:r w:rsidRPr="000A0374">
        <w:rPr>
          <w:i/>
          <w:iCs/>
        </w:rPr>
        <w:noBreakHyphen/>
        <w:t>Based Belief Map for Zero</w:t>
      </w:r>
      <w:r w:rsidRPr="000A0374">
        <w:rPr>
          <w:i/>
          <w:iCs/>
        </w:rPr>
        <w:noBreakHyphen/>
        <w:t>Shot Object Navigation</w:t>
      </w:r>
      <w:r w:rsidRPr="000A0374">
        <w:t>. arXiv, 2025.</w:t>
      </w:r>
      <w:r>
        <w:t>.</w:t>
      </w:r>
    </w:p>
    <w:p w14:paraId="5CE26C1F" w14:textId="755AC2F7" w:rsidR="000A0374" w:rsidRPr="000A0374" w:rsidRDefault="000A0374" w:rsidP="00156B74">
      <w:pPr>
        <w:pStyle w:val="references"/>
        <w:ind w:start="17.70pt" w:hanging="17.70pt"/>
        <w:rPr>
          <w:rFonts w:ascii="NimbusRomNo9L-Regu" w:eastAsia="NimbusRomNo9L-Regu" w:cs="NimbusRomNo9L-Regu"/>
        </w:rPr>
      </w:pPr>
      <w:r w:rsidRPr="000A0374">
        <w:t>Congcong Wen, Yisiyuan Huang, Hao Huang, Yanjia Huang, Shuaihang Yuan, Yu</w:t>
      </w:r>
      <w:r w:rsidRPr="000A0374">
        <w:noBreakHyphen/>
        <w:t xml:space="preserve">Shen Liu, and Yi Fang. </w:t>
      </w:r>
      <w:r w:rsidRPr="000A0374">
        <w:rPr>
          <w:i/>
          <w:iCs/>
        </w:rPr>
        <w:t>Zero</w:t>
      </w:r>
      <w:r w:rsidRPr="000A0374">
        <w:rPr>
          <w:i/>
          <w:iCs/>
        </w:rPr>
        <w:noBreakHyphen/>
        <w:t>Shot Object Navigation with Vision</w:t>
      </w:r>
      <w:r w:rsidRPr="000A0374">
        <w:rPr>
          <w:i/>
          <w:iCs/>
        </w:rPr>
        <w:noBreakHyphen/>
        <w:t>Language Models Reasoning</w:t>
      </w:r>
      <w:r w:rsidRPr="000A0374">
        <w:t>. ICPR 2024/ArXiv 2024.</w:t>
      </w:r>
    </w:p>
    <w:p w14:paraId="72C036F5" w14:textId="77777777" w:rsidR="000A0374" w:rsidRDefault="00156B74" w:rsidP="00156B74">
      <w:pPr>
        <w:pStyle w:val="references"/>
        <w:autoSpaceDE w:val="0"/>
        <w:autoSpaceDN w:val="0"/>
        <w:adjustRightInd w:val="0"/>
        <w:ind w:start="17.70pt" w:hanging="17.70pt"/>
        <w:jc w:val="start"/>
      </w:pPr>
      <w:r w:rsidRPr="000A0374">
        <w:rPr>
          <w:rFonts w:ascii="NimbusRomNo9L-Regu" w:eastAsia="NimbusRomNo9L-Regu" w:cs="NimbusRomNo9L-Regu"/>
        </w:rPr>
        <w:t xml:space="preserve"> </w:t>
      </w:r>
      <w:r w:rsidR="000A0374" w:rsidRPr="000A0374">
        <w:t xml:space="preserve">Tianrui Guan, Yurou Yang, Harry Cheng, Muyuan Lin, Richard Kim, Rajasimman Madhivanan, Arnie Sen, and Dinesh Manocha. </w:t>
      </w:r>
      <w:r w:rsidR="000A0374" w:rsidRPr="000A0374">
        <w:rPr>
          <w:i/>
          <w:iCs/>
        </w:rPr>
        <w:t>LOC</w:t>
      </w:r>
      <w:r w:rsidR="000A0374" w:rsidRPr="000A0374">
        <w:rPr>
          <w:i/>
          <w:iCs/>
        </w:rPr>
        <w:noBreakHyphen/>
        <w:t>ZSON: Language</w:t>
      </w:r>
      <w:r w:rsidR="000A0374" w:rsidRPr="000A0374">
        <w:rPr>
          <w:i/>
          <w:iCs/>
        </w:rPr>
        <w:noBreakHyphen/>
        <w:t>driven Object</w:t>
      </w:r>
      <w:r w:rsidR="000A0374" w:rsidRPr="000A0374">
        <w:rPr>
          <w:i/>
          <w:iCs/>
        </w:rPr>
        <w:noBreakHyphen/>
        <w:t>Centric Zero</w:t>
      </w:r>
      <w:r w:rsidR="000A0374" w:rsidRPr="000A0374">
        <w:rPr>
          <w:i/>
          <w:iCs/>
        </w:rPr>
        <w:noBreakHyphen/>
        <w:t>Shot Object Retrieval and Navigation</w:t>
      </w:r>
      <w:r w:rsidR="000A0374" w:rsidRPr="000A0374">
        <w:t xml:space="preserve">. ICRA 2024. </w:t>
      </w:r>
    </w:p>
    <w:p w14:paraId="2A5DE92A" w14:textId="24F4DEE2" w:rsidR="009303D9" w:rsidRPr="00F96569" w:rsidRDefault="000A0374"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t xml:space="preserve"> </w:t>
      </w:r>
    </w:p>
    <w:p w14:paraId="6FC6C90C" w14:textId="77777777" w:rsidR="009303D9" w:rsidRDefault="009303D9" w:rsidP="00F96569">
      <w:pPr>
        <w:rPr>
          <w:color w:val="FF0000"/>
        </w:rPr>
      </w:pPr>
    </w:p>
    <w:p w14:paraId="718B2AA8" w14:textId="77777777" w:rsidR="006954A1" w:rsidRDefault="006954A1" w:rsidP="00F96569">
      <w:pPr>
        <w:rPr>
          <w:color w:val="FF0000"/>
        </w:rPr>
      </w:pPr>
    </w:p>
    <w:p w14:paraId="5875D5C1" w14:textId="77777777" w:rsidR="006954A1" w:rsidRDefault="006954A1" w:rsidP="00F96569">
      <w:pPr>
        <w:rPr>
          <w:color w:val="FF0000"/>
        </w:rPr>
      </w:pPr>
    </w:p>
    <w:p w14:paraId="0E74B860" w14:textId="77777777" w:rsidR="006954A1" w:rsidRDefault="006954A1" w:rsidP="00F96569">
      <w:pPr>
        <w:rPr>
          <w:color w:val="FF0000"/>
        </w:rPr>
      </w:pPr>
    </w:p>
    <w:p w14:paraId="454D5467" w14:textId="77777777" w:rsidR="006954A1" w:rsidRDefault="006954A1" w:rsidP="00F96569">
      <w:pPr>
        <w:rPr>
          <w:color w:val="FF0000"/>
        </w:rPr>
      </w:pPr>
    </w:p>
    <w:p w14:paraId="55B45A37" w14:textId="7DEA1A00" w:rsidR="006954A1" w:rsidRPr="00F96569" w:rsidRDefault="00997C32" w:rsidP="00F96569">
      <w:pPr>
        <w:rPr>
          <w:color w:val="FF0000"/>
        </w:rPr>
      </w:pPr>
      <w:r>
        <w:rPr>
          <w:sz w:val="18"/>
          <w:szCs w:val="18"/>
        </w:rPr>
        <w:t xml:space="preserve"> </w:t>
      </w:r>
      <w:r w:rsidR="006954A1">
        <w:rPr>
          <w:sz w:val="18"/>
          <w:szCs w:val="18"/>
        </w:rPr>
        <w:br/>
      </w:r>
    </w:p>
    <w:sectPr w:rsidR="006954A1"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BBE6A8A" w14:textId="77777777" w:rsidR="00B934CA" w:rsidRDefault="00B934CA" w:rsidP="001A3B3D">
      <w:r>
        <w:separator/>
      </w:r>
    </w:p>
  </w:endnote>
  <w:endnote w:type="continuationSeparator" w:id="0">
    <w:p w14:paraId="049796D6" w14:textId="77777777" w:rsidR="00B934CA" w:rsidRDefault="00B934C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NimbusRomNo9L-Regu">
    <w:altName w:val="Yu Gothic"/>
    <w:panose1 w:val="00000000000000000000"/>
    <w:charset w:characterSet="shift_jis"/>
    <w:family w:val="auto"/>
    <w:notTrueType/>
    <w:pitch w:val="default"/>
    <w:sig w:usb0="00000003" w:usb1="08070000" w:usb2="00000010" w:usb3="00000000" w:csb0="00020001" w:csb1="00000000"/>
  </w:font>
  <w:font w:name="Calibri Light">
    <w:panose1 w:val="020F0302020204030204"/>
    <w:charset w:characterSet="iso-8859-1"/>
    <w:family w:val="swiss"/>
    <w:pitch w:val="variable"/>
    <w:sig w:usb0="E4002EFF" w:usb1="C200247B" w:usb2="00000009" w:usb3="00000000" w:csb0="000001FF" w:csb1="00000000"/>
  </w:font>
  <w:font w:name="Mangal">
    <w:panose1 w:val="02040503050203030202"/>
    <w:charset w:characterSet="iso-8859-1"/>
    <w:family w:val="roman"/>
    <w:pitch w:val="variable"/>
    <w:sig w:usb0="00008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2523C6D" w14:textId="77777777" w:rsidR="00B934CA" w:rsidRDefault="00B934CA" w:rsidP="001A3B3D">
      <w:r>
        <w:separator/>
      </w:r>
    </w:p>
  </w:footnote>
  <w:footnote w:type="continuationSeparator" w:id="0">
    <w:p w14:paraId="76DF45BC" w14:textId="77777777" w:rsidR="00B934CA" w:rsidRDefault="00B934C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27F4055C"/>
    <w:lvl w:ilvl="0">
      <w:start w:val="1"/>
      <w:numFmt w:val="upperRoman"/>
      <w:pStyle w:val="Heading1"/>
      <w:lvlText w:val="%1."/>
      <w:lvlJc w:val="center"/>
      <w:pPr>
        <w:tabs>
          <w:tab w:val="num" w:pos="113.60pt"/>
        </w:tabs>
        <w:ind w:firstLine="10.80pt"/>
      </w:pPr>
    </w:lvl>
    <w:lvl w:ilvl="1">
      <w:start w:val="1"/>
      <w:numFmt w:val="upperLetter"/>
      <w:pStyle w:val="Heading2"/>
      <w:lvlText w:val="%2."/>
      <w:lvlJc w:val="start"/>
      <w:pPr>
        <w:tabs>
          <w:tab w:val="num" w:pos="21.40pt"/>
        </w:tabs>
        <w:ind w:start="17.8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0.4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4.9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5.40pt"/>
        </w:tabs>
        <w:ind w:start="147.40pt"/>
      </w:pPr>
      <w:rPr>
        <w:rFonts w:cs="Times New Roman" w:hint="default"/>
      </w:rPr>
    </w:lvl>
    <w:lvl w:ilvl="5">
      <w:start w:val="1"/>
      <w:numFmt w:val="lowerLetter"/>
      <w:lvlText w:val="(%6)"/>
      <w:lvlJc w:val="start"/>
      <w:pPr>
        <w:tabs>
          <w:tab w:val="num" w:pos="201.40pt"/>
        </w:tabs>
        <w:ind w:start="183.40pt"/>
      </w:pPr>
      <w:rPr>
        <w:rFonts w:cs="Times New Roman" w:hint="default"/>
      </w:rPr>
    </w:lvl>
    <w:lvl w:ilvl="6">
      <w:start w:val="1"/>
      <w:numFmt w:val="lowerRoman"/>
      <w:lvlText w:val="(%7)"/>
      <w:lvlJc w:val="start"/>
      <w:pPr>
        <w:tabs>
          <w:tab w:val="num" w:pos="237.40pt"/>
        </w:tabs>
        <w:ind w:start="219.40pt"/>
      </w:pPr>
      <w:rPr>
        <w:rFonts w:cs="Times New Roman" w:hint="default"/>
      </w:rPr>
    </w:lvl>
    <w:lvl w:ilvl="7">
      <w:start w:val="1"/>
      <w:numFmt w:val="lowerLetter"/>
      <w:lvlText w:val="(%8)"/>
      <w:lvlJc w:val="start"/>
      <w:pPr>
        <w:tabs>
          <w:tab w:val="num" w:pos="273.40pt"/>
        </w:tabs>
        <w:ind w:start="255.40pt"/>
      </w:pPr>
      <w:rPr>
        <w:rFonts w:cs="Times New Roman" w:hint="default"/>
      </w:rPr>
    </w:lvl>
    <w:lvl w:ilvl="8">
      <w:start w:val="1"/>
      <w:numFmt w:val="lowerRoman"/>
      <w:lvlText w:val="(%9)"/>
      <w:lvlJc w:val="start"/>
      <w:pPr>
        <w:tabs>
          <w:tab w:val="num" w:pos="309.40pt"/>
        </w:tabs>
        <w:ind w:start="291.40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7044D94"/>
    <w:multiLevelType w:val="hybridMultilevel"/>
    <w:tmpl w:val="B4B0719C"/>
    <w:lvl w:ilvl="0" w:tplc="4009000F">
      <w:start w:val="2"/>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20"/>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1"/>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26" w16cid:durableId="1222905708">
    <w:abstractNumId w:val="19"/>
  </w:num>
  <w:num w:numId="27" w16cid:durableId="695035891">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FFD"/>
    <w:rsid w:val="00036045"/>
    <w:rsid w:val="0004781E"/>
    <w:rsid w:val="000546CB"/>
    <w:rsid w:val="00063380"/>
    <w:rsid w:val="0008758A"/>
    <w:rsid w:val="000A0374"/>
    <w:rsid w:val="000C1E68"/>
    <w:rsid w:val="0010333C"/>
    <w:rsid w:val="0015079E"/>
    <w:rsid w:val="00156B74"/>
    <w:rsid w:val="00183CCB"/>
    <w:rsid w:val="00186EF6"/>
    <w:rsid w:val="001A2EFD"/>
    <w:rsid w:val="001A3B3D"/>
    <w:rsid w:val="001A42EA"/>
    <w:rsid w:val="001B67DC"/>
    <w:rsid w:val="001C1C2F"/>
    <w:rsid w:val="001D7BCF"/>
    <w:rsid w:val="002254A9"/>
    <w:rsid w:val="00233D97"/>
    <w:rsid w:val="00247CF4"/>
    <w:rsid w:val="002512A9"/>
    <w:rsid w:val="002850E3"/>
    <w:rsid w:val="00291C02"/>
    <w:rsid w:val="0033349B"/>
    <w:rsid w:val="00354FCF"/>
    <w:rsid w:val="00383857"/>
    <w:rsid w:val="003A19E2"/>
    <w:rsid w:val="003B2A9E"/>
    <w:rsid w:val="003F1FE8"/>
    <w:rsid w:val="003F2040"/>
    <w:rsid w:val="00421EC6"/>
    <w:rsid w:val="004325FB"/>
    <w:rsid w:val="004432BA"/>
    <w:rsid w:val="0044407E"/>
    <w:rsid w:val="004D72B5"/>
    <w:rsid w:val="00500470"/>
    <w:rsid w:val="00547E73"/>
    <w:rsid w:val="00551B7F"/>
    <w:rsid w:val="0056610F"/>
    <w:rsid w:val="00575BCA"/>
    <w:rsid w:val="005B0344"/>
    <w:rsid w:val="005B520E"/>
    <w:rsid w:val="005E2800"/>
    <w:rsid w:val="006347CF"/>
    <w:rsid w:val="00645D22"/>
    <w:rsid w:val="00651A08"/>
    <w:rsid w:val="00654204"/>
    <w:rsid w:val="0066691B"/>
    <w:rsid w:val="00670434"/>
    <w:rsid w:val="006954A1"/>
    <w:rsid w:val="006B6B66"/>
    <w:rsid w:val="006C2141"/>
    <w:rsid w:val="006C3C0F"/>
    <w:rsid w:val="006F6D3D"/>
    <w:rsid w:val="00704134"/>
    <w:rsid w:val="00715BEA"/>
    <w:rsid w:val="00740EEA"/>
    <w:rsid w:val="00794804"/>
    <w:rsid w:val="007B33F1"/>
    <w:rsid w:val="007C0308"/>
    <w:rsid w:val="007C2FF2"/>
    <w:rsid w:val="007C3475"/>
    <w:rsid w:val="007D6232"/>
    <w:rsid w:val="007F1F99"/>
    <w:rsid w:val="007F768F"/>
    <w:rsid w:val="0080791D"/>
    <w:rsid w:val="00825800"/>
    <w:rsid w:val="0083545D"/>
    <w:rsid w:val="008516CF"/>
    <w:rsid w:val="00873603"/>
    <w:rsid w:val="008A2C7D"/>
    <w:rsid w:val="008C4B23"/>
    <w:rsid w:val="008E1D95"/>
    <w:rsid w:val="008F6E2C"/>
    <w:rsid w:val="00917C52"/>
    <w:rsid w:val="009303D9"/>
    <w:rsid w:val="00933C64"/>
    <w:rsid w:val="00957888"/>
    <w:rsid w:val="00972203"/>
    <w:rsid w:val="00973A09"/>
    <w:rsid w:val="00995965"/>
    <w:rsid w:val="00995C56"/>
    <w:rsid w:val="00997C32"/>
    <w:rsid w:val="009D2243"/>
    <w:rsid w:val="009E69BD"/>
    <w:rsid w:val="00A059B3"/>
    <w:rsid w:val="00A45BB0"/>
    <w:rsid w:val="00A71E21"/>
    <w:rsid w:val="00A76770"/>
    <w:rsid w:val="00A83751"/>
    <w:rsid w:val="00A85B98"/>
    <w:rsid w:val="00AB4E25"/>
    <w:rsid w:val="00AE3409"/>
    <w:rsid w:val="00B11A60"/>
    <w:rsid w:val="00B22613"/>
    <w:rsid w:val="00B27653"/>
    <w:rsid w:val="00B33603"/>
    <w:rsid w:val="00B934CA"/>
    <w:rsid w:val="00BA1025"/>
    <w:rsid w:val="00BB16BA"/>
    <w:rsid w:val="00BB47B6"/>
    <w:rsid w:val="00BC3420"/>
    <w:rsid w:val="00BD523B"/>
    <w:rsid w:val="00BE7D3C"/>
    <w:rsid w:val="00BF5FF6"/>
    <w:rsid w:val="00C0207F"/>
    <w:rsid w:val="00C16117"/>
    <w:rsid w:val="00C3075A"/>
    <w:rsid w:val="00C30BA1"/>
    <w:rsid w:val="00C3714C"/>
    <w:rsid w:val="00C551C3"/>
    <w:rsid w:val="00C6058B"/>
    <w:rsid w:val="00C76FFC"/>
    <w:rsid w:val="00C919A4"/>
    <w:rsid w:val="00CA3CB1"/>
    <w:rsid w:val="00CA4392"/>
    <w:rsid w:val="00CC393F"/>
    <w:rsid w:val="00D13749"/>
    <w:rsid w:val="00D2176E"/>
    <w:rsid w:val="00D632BE"/>
    <w:rsid w:val="00D72D06"/>
    <w:rsid w:val="00D7522C"/>
    <w:rsid w:val="00D7536F"/>
    <w:rsid w:val="00D76668"/>
    <w:rsid w:val="00D91CED"/>
    <w:rsid w:val="00DC4EA2"/>
    <w:rsid w:val="00DE6D76"/>
    <w:rsid w:val="00E2017B"/>
    <w:rsid w:val="00E24F00"/>
    <w:rsid w:val="00E61E12"/>
    <w:rsid w:val="00E7596C"/>
    <w:rsid w:val="00E86AD1"/>
    <w:rsid w:val="00E878F2"/>
    <w:rsid w:val="00E90E27"/>
    <w:rsid w:val="00EA7105"/>
    <w:rsid w:val="00ED0149"/>
    <w:rsid w:val="00EF7DE3"/>
    <w:rsid w:val="00F03103"/>
    <w:rsid w:val="00F12284"/>
    <w:rsid w:val="00F271DE"/>
    <w:rsid w:val="00F27D82"/>
    <w:rsid w:val="00F326FB"/>
    <w:rsid w:val="00F627DA"/>
    <w:rsid w:val="00F7288F"/>
    <w:rsid w:val="00F847A6"/>
    <w:rsid w:val="00F9441B"/>
    <w:rsid w:val="00F96569"/>
    <w:rsid w:val="00FA4C32"/>
    <w:rsid w:val="00FA6760"/>
    <w:rsid w:val="00FB3FCB"/>
    <w:rsid w:val="00FE7114"/>
    <w:rsid w:val="00FF1BB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0470"/>
    <w:pPr>
      <w:jc w:val="center"/>
    </w:pPr>
  </w:style>
  <w:style w:type="paragraph" w:styleId="Heading1">
    <w:name w:val="heading 1"/>
    <w:basedOn w:val="Normal"/>
    <w:next w:val="Normal"/>
    <w:qFormat/>
    <w:rsid w:val="006B6B66"/>
    <w:pPr>
      <w:keepNext/>
      <w:keepLines/>
      <w:numPr>
        <w:numId w:val="4"/>
      </w:numPr>
      <w:tabs>
        <w:tab w:val="clear" w:pos="113.60pt"/>
        <w:tab w:val="start" w:pos="10.80pt"/>
        <w:tab w:val="num" w:pos="32.2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4.9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HTMLPreformatted">
    <w:name w:val="HTML Preformatted"/>
    <w:basedOn w:val="Normal"/>
    <w:link w:val="HTMLPreformattedChar"/>
    <w:rsid w:val="00997C32"/>
    <w:rPr>
      <w:rFonts w:ascii="Consolas" w:hAnsi="Consolas"/>
    </w:rPr>
  </w:style>
  <w:style w:type="character" w:customStyle="1" w:styleId="HTMLPreformattedChar">
    <w:name w:val="HTML Preformatted Char"/>
    <w:basedOn w:val="DefaultParagraphFont"/>
    <w:link w:val="HTMLPreformatted"/>
    <w:rsid w:val="00997C32"/>
    <w:rPr>
      <w:rFonts w:ascii="Consolas" w:hAnsi="Consolas"/>
    </w:rPr>
  </w:style>
  <w:style w:type="character" w:customStyle="1" w:styleId="Heading2Char">
    <w:name w:val="Heading 2 Char"/>
    <w:basedOn w:val="DefaultParagraphFont"/>
    <w:link w:val="Heading2"/>
    <w:rsid w:val="006C3C0F"/>
    <w:rPr>
      <w:i/>
      <w:iCs/>
      <w:noProof/>
    </w:rPr>
  </w:style>
  <w:style w:type="character" w:styleId="Strong">
    <w:name w:val="Strong"/>
    <w:basedOn w:val="DefaultParagraphFont"/>
    <w:uiPriority w:val="22"/>
    <w:qFormat/>
    <w:rsid w:val="0033349B"/>
    <w:rPr>
      <w:b/>
      <w:bCs/>
    </w:rPr>
  </w:style>
  <w:style w:type="character" w:styleId="PlaceholderText">
    <w:name w:val="Placeholder Text"/>
    <w:basedOn w:val="DefaultParagraphFont"/>
    <w:uiPriority w:val="99"/>
    <w:semiHidden/>
    <w:rsid w:val="00FB3FCB"/>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1123</TotalTime>
  <Pages>4</Pages>
  <Words>3010</Words>
  <Characters>17162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Kalyani Jawale</cp:lastModifiedBy>
  <cp:revision>8</cp:revision>
  <dcterms:created xsi:type="dcterms:W3CDTF">2024-07-16T13:39:00Z</dcterms:created>
  <dcterms:modified xsi:type="dcterms:W3CDTF">2025-12-31T20:26:00Z</dcterms:modified>
</cp:coreProperties>
</file>