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Hiragino Sans GB" w:hAnsi="Hiragino Sans GB" w:eastAsia="Hiragino Sans GB"/>
          <w:b/>
          <w:i w:val="0"/>
          <w:color w:val="B8872D"/>
          <w:sz w:val="24"/>
        </w:rPr>
        <w:t>COMPETITOR-TO-DEVELOPMENT PLANNING MASTER</w:t>
      </w:r>
    </w:p>
    <w:p>
      <w:pPr>
        <w:jc w:val="center"/>
      </w:pPr>
      <w:r>
        <w:rPr>
          <w:rFonts w:ascii="Hiragino Sans GB" w:hAnsi="Hiragino Sans GB" w:eastAsia="Hiragino Sans GB"/>
          <w:b/>
          <w:i w:val="0"/>
          <w:color w:val="223A5E"/>
          <w:sz w:val="54"/>
        </w:rPr>
        <w:t>游戏类型与系统策划开发模板库</w:t>
      </w:r>
    </w:p>
    <w:p>
      <w:pPr>
        <w:jc w:val="center"/>
      </w:pPr>
      <w:r>
        <w:rPr>
          <w:rFonts w:ascii="Microsoft YaHei" w:hAnsi="Microsoft YaHei" w:eastAsia="Microsoft YaHei"/>
        </w:rPr>
        <w:t>v3.0 · 整合完善版</w:t>
      </w:r>
    </w:p>
    <w:p>
      <w:pPr>
        <w:jc w:val="center"/>
      </w:pPr>
      <w:r>
        <w:rPr>
          <w:rFonts w:ascii="Hiragino Sans GB" w:hAnsi="Hiragino Sans GB" w:eastAsia="Hiragino Sans GB"/>
          <w:b w:val="0"/>
          <w:i w:val="0"/>
          <w:color w:val="66717D"/>
          <w:sz w:val="23"/>
        </w:rPr>
        <w:t>竞品证据 → 策划判断 → P0/P1范围 → 功能/UI/数据/资源 → 埋点/性能/QA</w:t>
      </w:r>
    </w:p>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母版定位  </w:t>
            </w:r>
            <w:r>
              <w:rPr>
                <w:rFonts w:ascii="Hiragino Sans GB" w:hAnsi="Hiragino Sans GB" w:eastAsia="Hiragino Sans GB"/>
                <w:b w:val="0"/>
                <w:i w:val="0"/>
                <w:color w:val="20252B"/>
                <w:sz w:val="21"/>
              </w:rPr>
              <w:t>本文件不是把竞品外观和数值硬套进项目，而是把可验证的竞品机制转译为本项目可执行的功能策划与研发规格。任何系统都必须先说明为什么做、解决什么问题、如何适配，再进入实现表。</w:t>
            </w:r>
          </w:p>
        </w:tc>
      </w:tr>
    </w:tbl>
    <w:p>
      <w:pPr>
        <w:spacing w:after="40"/>
      </w:pPr>
    </w:p>
    <w:p/>
    <w:p/>
    <w:p/>
    <w:p>
      <w:pPr>
        <w:jc w:val="center"/>
      </w:pPr>
      <w:r>
        <w:rPr>
          <w:rFonts w:ascii="Microsoft YaHei" w:hAnsi="Microsoft YaHei" w:eastAsia="Microsoft YaHei"/>
        </w:rPr>
        <w:t>64个系统模板｜5个P0横切交付包｜P2轻量模式｜元数据/空白母版｜客户端/服务器权威边界｜字段级Schema</w:t>
      </w:r>
    </w:p>
    <w:p>
      <w:r>
        <w:br w:type="page"/>
      </w:r>
    </w:p>
    <w:p>
      <w:pPr>
        <w:pStyle w:val="Heading1"/>
      </w:pPr>
      <w:r>
        <w:rPr>
          <w:rFonts w:ascii="Microsoft YaHei" w:hAnsi="Microsoft YaHei" w:eastAsia="Microsoft YaHei"/>
        </w:rPr>
        <w:t>0. 项目元数据模板（立项信息卡 · v3.0 新增）</w:t>
      </w:r>
    </w:p>
    <w:p>
      <w:r>
        <w:rPr>
          <w:rFonts w:ascii="Microsoft YaHei" w:hAnsi="Microsoft YaHei" w:eastAsia="Microsoft YaHei"/>
          <w:b w:val="0"/>
          <w:i w:val="0"/>
          <w:sz w:val="21"/>
        </w:rPr>
        <w:t>立项时填写一次，作为全库所有系统的引用基线；各系统模板中的『目标/适用/依赖/合规』均以本卡为上下文。竞品分析输出的功能点，应标注来源系统与本卡字段的对应关系。</w:t>
      </w:r>
    </w:p>
    <w:tbl>
      <w:tblPr>
        <w:tblStyle w:val="TableGrid"/>
        <w:tblW w:type="auto" w:w="0"/>
        <w:tblLayout w:type="fixed"/>
        <w:tblLook w:firstColumn="1" w:firstRow="1" w:lastColumn="0" w:lastRow="0" w:noHBand="0" w:noVBand="1" w:val="04A0"/>
      </w:tblPr>
      <w:tblGrid>
        <w:gridCol w:w="4680"/>
        <w:gridCol w:w="4680"/>
      </w:tblGrid>
      <w:tr>
        <w:tc>
          <w:tcPr>
            <w:tcW w:type="dxa" w:w="2058"/>
          </w:tcPr>
          <w:p>
            <w:r/>
            <w:r>
              <w:rPr>
                <w:rFonts w:ascii="Microsoft YaHei" w:hAnsi="Microsoft YaHei" w:eastAsia="Microsoft YaHei"/>
                <w:b/>
                <w:sz w:val="18"/>
              </w:rPr>
              <w:t>字段</w:t>
            </w:r>
          </w:p>
        </w:tc>
        <w:tc>
          <w:tcPr>
            <w:tcW w:type="dxa" w:w="7296"/>
          </w:tcPr>
          <w:p>
            <w:r/>
            <w:r>
              <w:rPr>
                <w:rFonts w:ascii="Microsoft YaHei" w:hAnsi="Microsoft YaHei" w:eastAsia="Microsoft YaHei"/>
                <w:b/>
                <w:sz w:val="18"/>
              </w:rPr>
              <w:t>填写内容</w:t>
            </w:r>
          </w:p>
        </w:tc>
      </w:tr>
      <w:tr>
        <w:tc>
          <w:tcPr>
            <w:tcW w:type="dxa" w:w="2058"/>
          </w:tcPr>
          <w:p>
            <w:r/>
            <w:r>
              <w:rPr>
                <w:rFonts w:ascii="Microsoft YaHei" w:hAnsi="Microsoft YaHei" w:eastAsia="Microsoft YaHei"/>
                <w:sz w:val="18"/>
              </w:rPr>
              <w:t>项目名</w:t>
            </w:r>
          </w:p>
        </w:tc>
        <w:tc>
          <w:tcPr>
            <w:tcW w:type="dxa" w:w="7296"/>
          </w:tcPr>
          <w:p>
            <w:r/>
            <w:r>
              <w:rPr>
                <w:rFonts w:ascii="Microsoft YaHei" w:hAnsi="Microsoft YaHei" w:eastAsia="Microsoft YaHei"/>
                <w:sz w:val="18"/>
              </w:rPr>
              <w:t>&lt;ProjectName&gt;</w:t>
            </w:r>
          </w:p>
        </w:tc>
      </w:tr>
      <w:tr>
        <w:tc>
          <w:tcPr>
            <w:tcW w:type="dxa" w:w="2058"/>
          </w:tcPr>
          <w:p>
            <w:r/>
            <w:r>
              <w:rPr>
                <w:rFonts w:ascii="Microsoft YaHei" w:hAnsi="Microsoft YaHei" w:eastAsia="Microsoft YaHei"/>
                <w:sz w:val="18"/>
              </w:rPr>
              <w:t>目标平台</w:t>
            </w:r>
          </w:p>
        </w:tc>
        <w:tc>
          <w:tcPr>
            <w:tcW w:type="dxa" w:w="7296"/>
          </w:tcPr>
          <w:p>
            <w:r/>
            <w:r>
              <w:rPr>
                <w:rFonts w:ascii="Microsoft YaHei" w:hAnsi="Microsoft YaHei" w:eastAsia="Microsoft YaHei"/>
                <w:sz w:val="18"/>
              </w:rPr>
              <w:t>&lt;WeChat/Douyin/Web/iOS/Android&gt;</w:t>
            </w:r>
          </w:p>
        </w:tc>
      </w:tr>
      <w:tr>
        <w:tc>
          <w:tcPr>
            <w:tcW w:type="dxa" w:w="2058"/>
          </w:tcPr>
          <w:p>
            <w:r/>
            <w:r>
              <w:rPr>
                <w:rFonts w:ascii="Microsoft YaHei" w:hAnsi="Microsoft YaHei" w:eastAsia="Microsoft YaHei"/>
                <w:sz w:val="18"/>
              </w:rPr>
              <w:t>市场类型</w:t>
            </w:r>
          </w:p>
        </w:tc>
        <w:tc>
          <w:tcPr>
            <w:tcW w:type="dxa" w:w="7296"/>
          </w:tcPr>
          <w:p>
            <w:r/>
            <w:r>
              <w:rPr>
                <w:rFonts w:ascii="Microsoft YaHei" w:hAnsi="Microsoft YaHei" w:eastAsia="Microsoft YaHei"/>
                <w:sz w:val="18"/>
              </w:rPr>
              <w:t>&lt;GenreID，参照第5章选型矩阵&gt;</w:t>
            </w:r>
          </w:p>
        </w:tc>
      </w:tr>
      <w:tr>
        <w:tc>
          <w:tcPr>
            <w:tcW w:type="dxa" w:w="2058"/>
          </w:tcPr>
          <w:p>
            <w:r/>
            <w:r>
              <w:rPr>
                <w:rFonts w:ascii="Microsoft YaHei" w:hAnsi="Microsoft YaHei" w:eastAsia="Microsoft YaHei"/>
                <w:sz w:val="18"/>
              </w:rPr>
              <w:t>主核心原型</w:t>
            </w:r>
          </w:p>
        </w:tc>
        <w:tc>
          <w:tcPr>
            <w:tcW w:type="dxa" w:w="7296"/>
          </w:tcPr>
          <w:p>
            <w:r/>
            <w:r>
              <w:rPr>
                <w:rFonts w:ascii="Microsoft YaHei" w:hAnsi="Microsoft YaHei" w:eastAsia="Microsoft YaHei"/>
                <w:sz w:val="18"/>
              </w:rPr>
              <w:t>&lt;operation/strategy/puzzle/...&gt;</w:t>
            </w:r>
          </w:p>
        </w:tc>
      </w:tr>
      <w:tr>
        <w:tc>
          <w:tcPr>
            <w:tcW w:type="dxa" w:w="2058"/>
          </w:tcPr>
          <w:p>
            <w:r/>
            <w:r>
              <w:rPr>
                <w:rFonts w:ascii="Microsoft YaHei" w:hAnsi="Microsoft YaHei" w:eastAsia="Microsoft YaHei"/>
                <w:sz w:val="18"/>
              </w:rPr>
              <w:t>次核心原型</w:t>
            </w:r>
          </w:p>
        </w:tc>
        <w:tc>
          <w:tcPr>
            <w:tcW w:type="dxa" w:w="7296"/>
          </w:tcPr>
          <w:p>
            <w:r/>
            <w:r>
              <w:rPr>
                <w:rFonts w:ascii="Microsoft YaHei" w:hAnsi="Microsoft YaHei" w:eastAsia="Microsoft YaHei"/>
                <w:sz w:val="18"/>
              </w:rPr>
              <w:t>&lt;1-3项&gt;</w:t>
            </w:r>
          </w:p>
        </w:tc>
      </w:tr>
      <w:tr>
        <w:tc>
          <w:tcPr>
            <w:tcW w:type="dxa" w:w="2058"/>
          </w:tcPr>
          <w:p>
            <w:r/>
            <w:r>
              <w:rPr>
                <w:rFonts w:ascii="Microsoft YaHei" w:hAnsi="Microsoft YaHei" w:eastAsia="Microsoft YaHei"/>
                <w:sz w:val="18"/>
              </w:rPr>
              <w:t>权威模式</w:t>
            </w:r>
          </w:p>
        </w:tc>
        <w:tc>
          <w:tcPr>
            <w:tcW w:type="dxa" w:w="7296"/>
          </w:tcPr>
          <w:p>
            <w:r/>
            <w:r>
              <w:rPr>
                <w:rFonts w:ascii="Microsoft YaHei" w:hAnsi="Microsoft YaHei" w:eastAsia="Microsoft YaHei"/>
                <w:sz w:val="18"/>
              </w:rPr>
              <w:t>&lt;server/local-authoritative/offline&gt;</w:t>
            </w:r>
          </w:p>
        </w:tc>
      </w:tr>
      <w:tr>
        <w:tc>
          <w:tcPr>
            <w:tcW w:type="dxa" w:w="2058"/>
          </w:tcPr>
          <w:p>
            <w:r/>
            <w:r>
              <w:rPr>
                <w:rFonts w:ascii="Microsoft YaHei" w:hAnsi="Microsoft YaHei" w:eastAsia="Microsoft YaHei"/>
                <w:sz w:val="18"/>
              </w:rPr>
              <w:t>引擎与语言</w:t>
            </w:r>
          </w:p>
        </w:tc>
        <w:tc>
          <w:tcPr>
            <w:tcW w:type="dxa" w:w="7296"/>
          </w:tcPr>
          <w:p>
            <w:r/>
            <w:r>
              <w:rPr>
                <w:rFonts w:ascii="Microsoft YaHei" w:hAnsi="Microsoft YaHei" w:eastAsia="Microsoft YaHei"/>
                <w:sz w:val="18"/>
              </w:rPr>
              <w:t>&lt;Engine/Language&gt;</w:t>
            </w:r>
          </w:p>
        </w:tc>
      </w:tr>
      <w:tr>
        <w:tc>
          <w:tcPr>
            <w:tcW w:type="dxa" w:w="2058"/>
          </w:tcPr>
          <w:p>
            <w:r/>
            <w:r>
              <w:rPr>
                <w:rFonts w:ascii="Microsoft YaHei" w:hAnsi="Microsoft YaHei" w:eastAsia="Microsoft YaHei"/>
                <w:sz w:val="18"/>
              </w:rPr>
              <w:t>美术风格/艺术方向</w:t>
            </w:r>
          </w:p>
        </w:tc>
        <w:tc>
          <w:tcPr>
            <w:tcW w:type="dxa" w:w="7296"/>
          </w:tcPr>
          <w:p>
            <w:r/>
            <w:r>
              <w:rPr>
                <w:rFonts w:ascii="Microsoft YaHei" w:hAnsi="Microsoft YaHei" w:eastAsia="Microsoft YaHei"/>
                <w:sz w:val="18"/>
              </w:rPr>
              <w:t>&lt;写实/卡通/像素/国风...，附参考图集路径&gt;</w:t>
            </w:r>
          </w:p>
        </w:tc>
      </w:tr>
      <w:tr>
        <w:tc>
          <w:tcPr>
            <w:tcW w:type="dxa" w:w="2058"/>
          </w:tcPr>
          <w:p>
            <w:r/>
            <w:r>
              <w:rPr>
                <w:rFonts w:ascii="Microsoft YaHei" w:hAnsi="Microsoft YaHei" w:eastAsia="Microsoft YaHei"/>
                <w:sz w:val="18"/>
              </w:rPr>
              <w:t>目标用户画像</w:t>
            </w:r>
          </w:p>
        </w:tc>
        <w:tc>
          <w:tcPr>
            <w:tcW w:type="dxa" w:w="7296"/>
          </w:tcPr>
          <w:p>
            <w:r/>
            <w:r>
              <w:rPr>
                <w:rFonts w:ascii="Microsoft YaHei" w:hAnsi="Microsoft YaHei" w:eastAsia="Microsoft YaHei"/>
                <w:sz w:val="18"/>
              </w:rPr>
              <w:t>&lt;年龄段/性别/付费能力/游戏习惯&gt;</w:t>
            </w:r>
          </w:p>
        </w:tc>
      </w:tr>
      <w:tr>
        <w:tc>
          <w:tcPr>
            <w:tcW w:type="dxa" w:w="2058"/>
          </w:tcPr>
          <w:p>
            <w:r/>
            <w:r>
              <w:rPr>
                <w:rFonts w:ascii="Microsoft YaHei" w:hAnsi="Microsoft YaHei" w:eastAsia="Microsoft YaHei"/>
                <w:sz w:val="18"/>
              </w:rPr>
              <w:t>商业模式</w:t>
            </w:r>
          </w:p>
        </w:tc>
        <w:tc>
          <w:tcPr>
            <w:tcW w:type="dxa" w:w="7296"/>
          </w:tcPr>
          <w:p>
            <w:r/>
            <w:r>
              <w:rPr>
                <w:rFonts w:ascii="Microsoft YaHei" w:hAnsi="Microsoft YaHei" w:eastAsia="Microsoft YaHei"/>
                <w:sz w:val="18"/>
              </w:rPr>
              <w:t>&lt;免费+IAP / 混合变现(广告+IAP) / 买断&gt;</w:t>
            </w:r>
          </w:p>
        </w:tc>
      </w:tr>
      <w:tr>
        <w:tc>
          <w:tcPr>
            <w:tcW w:type="dxa" w:w="2058"/>
          </w:tcPr>
          <w:p>
            <w:r/>
            <w:r>
              <w:rPr>
                <w:rFonts w:ascii="Microsoft YaHei" w:hAnsi="Microsoft YaHei" w:eastAsia="Microsoft YaHei"/>
                <w:sz w:val="18"/>
              </w:rPr>
              <w:t>合规区域</w:t>
            </w:r>
          </w:p>
        </w:tc>
        <w:tc>
          <w:tcPr>
            <w:tcW w:type="dxa" w:w="7296"/>
          </w:tcPr>
          <w:p>
            <w:r/>
            <w:r>
              <w:rPr>
                <w:rFonts w:ascii="Microsoft YaHei" w:hAnsi="Microsoft YaHei" w:eastAsia="Microsoft YaHei"/>
                <w:sz w:val="18"/>
              </w:rPr>
              <w:t>&lt;中国大陆/海外，决定S49实名/S53风控/S60隐私是否强制&gt;</w:t>
            </w:r>
          </w:p>
        </w:tc>
      </w:tr>
      <w:tr>
        <w:tc>
          <w:tcPr>
            <w:tcW w:type="dxa" w:w="2058"/>
          </w:tcPr>
          <w:p>
            <w:r/>
            <w:r>
              <w:rPr>
                <w:rFonts w:ascii="Microsoft YaHei" w:hAnsi="Microsoft YaHei" w:eastAsia="Microsoft YaHei"/>
                <w:sz w:val="18"/>
              </w:rPr>
              <w:t>开发周期与里程碑</w:t>
            </w:r>
          </w:p>
        </w:tc>
        <w:tc>
          <w:tcPr>
            <w:tcW w:type="dxa" w:w="7296"/>
          </w:tcPr>
          <w:p>
            <w:r/>
            <w:r>
              <w:rPr>
                <w:rFonts w:ascii="Microsoft YaHei" w:hAnsi="Microsoft YaHei" w:eastAsia="Microsoft YaHei"/>
                <w:sz w:val="18"/>
              </w:rPr>
              <w:t>&lt;立项/首测/上线/版本节奏&gt;</w:t>
            </w:r>
          </w:p>
        </w:tc>
      </w:tr>
      <w:tr>
        <w:tc>
          <w:tcPr>
            <w:tcW w:type="dxa" w:w="2058"/>
          </w:tcPr>
          <w:p>
            <w:r/>
            <w:r>
              <w:rPr>
                <w:rFonts w:ascii="Microsoft YaHei" w:hAnsi="Microsoft YaHei" w:eastAsia="Microsoft YaHei"/>
                <w:sz w:val="18"/>
              </w:rPr>
              <w:t>团队规模与分工</w:t>
            </w:r>
          </w:p>
        </w:tc>
        <w:tc>
          <w:tcPr>
            <w:tcW w:type="dxa" w:w="7296"/>
          </w:tcPr>
          <w:p>
            <w:r/>
            <w:r>
              <w:rPr>
                <w:rFonts w:ascii="Microsoft YaHei" w:hAnsi="Microsoft YaHei" w:eastAsia="Microsoft YaHei"/>
                <w:sz w:val="18"/>
              </w:rPr>
              <w:t>&lt;策划X/程序X/美术X/音频X/QA X&gt;</w:t>
            </w:r>
          </w:p>
        </w:tc>
      </w:tr>
      <w:tr>
        <w:tc>
          <w:tcPr>
            <w:tcW w:type="dxa" w:w="2058"/>
          </w:tcPr>
          <w:p>
            <w:r/>
            <w:r>
              <w:rPr>
                <w:rFonts w:ascii="Microsoft YaHei" w:hAnsi="Microsoft YaHei" w:eastAsia="Microsoft YaHei"/>
                <w:sz w:val="18"/>
              </w:rPr>
              <w:t>竞品参考（系统来源标注）</w:t>
            </w:r>
          </w:p>
        </w:tc>
        <w:tc>
          <w:tcPr>
            <w:tcW w:type="dxa" w:w="7296"/>
          </w:tcPr>
          <w:p>
            <w:r/>
            <w:r>
              <w:rPr>
                <w:rFonts w:ascii="Microsoft YaHei" w:hAnsi="Microsoft YaHei" w:eastAsia="Microsoft YaHei"/>
                <w:sz w:val="18"/>
              </w:rPr>
              <w:t>&lt;竞品名+系统名+截图链接，逐系统标注&gt;</w:t>
            </w:r>
          </w:p>
        </w:tc>
      </w:tr>
      <w:tr>
        <w:tc>
          <w:tcPr>
            <w:tcW w:type="dxa" w:w="2058"/>
          </w:tcPr>
          <w:p>
            <w:r/>
            <w:r>
              <w:rPr>
                <w:rFonts w:ascii="Microsoft YaHei" w:hAnsi="Microsoft YaHei" w:eastAsia="Microsoft YaHei"/>
                <w:sz w:val="18"/>
              </w:rPr>
              <w:t>数据/BI平台</w:t>
            </w:r>
          </w:p>
        </w:tc>
        <w:tc>
          <w:tcPr>
            <w:tcW w:type="dxa" w:w="7296"/>
          </w:tcPr>
          <w:p>
            <w:r/>
            <w:r>
              <w:rPr>
                <w:rFonts w:ascii="Microsoft YaHei" w:hAnsi="Microsoft YaHei" w:eastAsia="Microsoft YaHei"/>
                <w:sz w:val="18"/>
              </w:rPr>
              <w:t>&lt;埋点平台/看板地址&gt;</w:t>
            </w:r>
          </w:p>
        </w:tc>
      </w:tr>
      <w:tr>
        <w:tc>
          <w:tcPr>
            <w:tcW w:type="dxa" w:w="2058"/>
          </w:tcPr>
          <w:p>
            <w:r/>
            <w:r>
              <w:rPr>
                <w:rFonts w:ascii="Microsoft YaHei" w:hAnsi="Microsoft YaHei" w:eastAsia="Microsoft YaHei"/>
                <w:sz w:val="18"/>
              </w:rPr>
              <w:t>配置版本</w:t>
            </w:r>
          </w:p>
        </w:tc>
        <w:tc>
          <w:tcPr>
            <w:tcW w:type="dxa" w:w="7296"/>
          </w:tcPr>
          <w:p>
            <w:r/>
            <w:r>
              <w:rPr>
                <w:rFonts w:ascii="Microsoft YaHei" w:hAnsi="Microsoft YaHei" w:eastAsia="Microsoft YaHei"/>
                <w:sz w:val="18"/>
              </w:rPr>
              <w:t>&lt;config_version&gt;</w:t>
            </w:r>
          </w:p>
        </w:tc>
      </w:tr>
    </w:tbl>
    <w:p>
      <w:r>
        <w:rPr>
          <w:rFonts w:ascii="Microsoft YaHei" w:hAnsi="Microsoft YaHei" w:eastAsia="Microsoft YaHei"/>
          <w:b w:val="0"/>
          <w:i/>
          <w:color w:val="666666"/>
          <w:sz w:val="20"/>
        </w:rPr>
        <w:t>使用顺序：先填本卡 → 按第5章选型矩阵选系统并定 P0/P1/P2 → 再按第2.5章决定填写模式（完整 A–H 或轻量），逐系统按 A–H 填写。</w:t>
      </w:r>
    </w:p>
    <w:p>
      <w:pPr>
        <w:pStyle w:val="Heading1"/>
      </w:pPr>
      <w:r>
        <w:t>1. 竞品分析转开发的策划方法</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五步判断  </w:t>
            </w:r>
            <w:r>
              <w:rPr>
                <w:rFonts w:ascii="Hiragino Sans GB" w:hAnsi="Hiragino Sans GB" w:eastAsia="Hiragino Sans GB"/>
                <w:b w:val="0"/>
                <w:i w:val="0"/>
                <w:color w:val="20252B"/>
                <w:sz w:val="21"/>
              </w:rPr>
              <w:t>①记录可见事实与证据ID；②推断其解决的玩家问题；③抽象可迁移机制；④结合本项目核心循环、受众、商业模式和产能做适配；⑤写出不做什么、风险与验证指标。事实、推断、建议不得混写。</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24"/>
        <w:gridCol w:w="5256"/>
        <w:gridCol w:w="2880"/>
      </w:tblGrid>
      <w:tr>
        <w:trPr>
          <w:tblHeader w:val="true"/>
          <w:cantSplit/>
        </w:trPr>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步骤</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必须回答</w:t>
            </w:r>
          </w:p>
        </w:tc>
        <w:tc>
          <w:tcPr>
            <w:tcW w:type="dxa" w:w="28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输出物</w:t>
            </w:r>
          </w:p>
        </w:tc>
      </w:tr>
      <w:tr>
        <w:trPr>
          <w:cantSplit/>
        </w:trPr>
        <w:tc>
          <w:tcPr>
            <w:tcW w:type="dxa" w:w="1224"/>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事实层</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竞品实际出现了什么？入口、规则、状态、反馈和结果能否被证据支持？</w:t>
            </w:r>
          </w:p>
        </w:tc>
        <w:tc>
          <w:tcPr>
            <w:tcW w:type="dxa" w:w="28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事实卡+证据ID+版本日期</w:t>
            </w:r>
          </w:p>
        </w:tc>
      </w:tr>
      <w:tr>
        <w:trPr>
          <w:cantSplit/>
        </w:trPr>
        <w:tc>
          <w:tcPr>
            <w:tcW w:type="dxa" w:w="1224"/>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意图层</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它解决学习、目标、策略、留存、付费、传播还是生产效率问题？</w:t>
            </w:r>
          </w:p>
        </w:tc>
        <w:tc>
          <w:tcPr>
            <w:tcW w:type="dxa" w:w="28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玩家问题与产品目标</w:t>
            </w:r>
          </w:p>
        </w:tc>
      </w:tr>
      <w:tr>
        <w:trPr>
          <w:cantSplit/>
        </w:trPr>
        <w:tc>
          <w:tcPr>
            <w:tcW w:type="dxa" w:w="1224"/>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机制层</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剥离美术、命名和数值后，最小机制是什么？</w:t>
            </w:r>
          </w:p>
        </w:tc>
        <w:tc>
          <w:tcPr>
            <w:tcW w:type="dxa" w:w="28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状态机、规则、输入输出</w:t>
            </w:r>
          </w:p>
        </w:tc>
      </w:tr>
      <w:tr>
        <w:trPr>
          <w:cantSplit/>
        </w:trPr>
        <w:tc>
          <w:tcPr>
            <w:tcW w:type="dxa" w:w="1224"/>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适配层</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本项目的类型、节奏、平台、受众、商业化、团队产能有什么差异？</w:t>
            </w:r>
          </w:p>
        </w:tc>
        <w:tc>
          <w:tcPr>
            <w:tcW w:type="dxa" w:w="28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P0/P1范围、依赖与非目标</w:t>
            </w:r>
          </w:p>
        </w:tc>
      </w:tr>
      <w:tr>
        <w:trPr>
          <w:cantSplit/>
        </w:trPr>
        <w:tc>
          <w:tcPr>
            <w:tcW w:type="dxa" w:w="1224"/>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验证层</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什么数据、体验和技术指标证明它有效？失败时如何回滚？</w:t>
            </w:r>
          </w:p>
        </w:tc>
        <w:tc>
          <w:tcPr>
            <w:tcW w:type="dxa" w:w="28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埋点、性能、QA、灰度方案</w:t>
            </w:r>
          </w:p>
        </w:tc>
      </w:tr>
    </w:tbl>
    <w:p>
      <w:pPr>
        <w:spacing w:after="40"/>
      </w:pPr>
    </w:p>
    <w:p>
      <w:pPr>
        <w:pStyle w:val="Heading1"/>
      </w:pPr>
      <w:r>
        <w:t>2. P0/P1分级规则</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08"/>
        <w:gridCol w:w="3384"/>
        <w:gridCol w:w="2880"/>
        <w:gridCol w:w="2088"/>
      </w:tblGrid>
      <w:tr>
        <w:trPr>
          <w:tblHeader w:val="true"/>
          <w:cantSplit/>
        </w:trPr>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级别</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定义</w:t>
            </w:r>
          </w:p>
        </w:tc>
        <w:tc>
          <w:tcPr>
            <w:tcW w:type="dxa" w:w="28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进入条件</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退出/降级规则</w:t>
            </w:r>
          </w:p>
        </w:tc>
      </w:tr>
      <w:tr>
        <w:trPr>
          <w:cantSplit/>
        </w:trPr>
        <w:tc>
          <w:tcPr>
            <w:tcW w:type="dxa" w:w="100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P0</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不上线就无法形成核心闭环、无法运营/合规或存在资产安全风险</w:t>
            </w:r>
          </w:p>
        </w:tc>
        <w:tc>
          <w:tcPr>
            <w:tcW w:type="dxa" w:w="28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有竞品证据或明确法规/平台/商业目标；依赖和产能已确认</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仅能通过删减高级体验降级，不能删权威校验、审计、回滚和失败兜底</w:t>
            </w:r>
          </w:p>
        </w:tc>
      </w:tr>
      <w:tr>
        <w:trPr>
          <w:cantSplit/>
        </w:trPr>
        <w:tc>
          <w:tcPr>
            <w:tcW w:type="dxa" w:w="100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P1</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显著改善深度、效率、增长或体验，但不阻断首发闭环</w:t>
            </w:r>
          </w:p>
        </w:tc>
        <w:tc>
          <w:tcPr>
            <w:tcW w:type="dxa" w:w="28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P0数据稳定；指标或运营场景证明有价值</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FeatureSwitch关闭后P0仍完整；可独立灰度和回滚</w:t>
            </w:r>
          </w:p>
        </w:tc>
      </w:tr>
      <w:tr>
        <w:trPr>
          <w:cantSplit/>
        </w:trPr>
        <w:tc>
          <w:tcPr>
            <w:tcW w:type="dxa" w:w="100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N/A</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不适合本项目或证据不足</w:t>
            </w:r>
          </w:p>
        </w:tc>
        <w:tc>
          <w:tcPr>
            <w:tcW w:type="dxa" w:w="28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写明不适用原因、替代机制和复审时点</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出现新证据/目标变化才重新评估</w:t>
            </w:r>
          </w:p>
        </w:tc>
      </w:tr>
      <w:tr>
        <w:tc>
          <w:tcPr>
            <w:tcW w:type="dxa" w:w="1008"/>
          </w:tcPr>
          <w:p>
            <w:r/>
            <w:r>
              <w:rPr>
                <w:rFonts w:ascii="Microsoft YaHei" w:hAnsi="Microsoft YaHei" w:eastAsia="Microsoft YaHei"/>
                <w:sz w:val="18"/>
              </w:rPr>
              <w:t>P2</w:t>
            </w:r>
          </w:p>
        </w:tc>
        <w:tc>
          <w:tcPr>
            <w:tcW w:type="dxa" w:w="3384"/>
          </w:tcPr>
          <w:p>
            <w:r/>
            <w:r>
              <w:rPr>
                <w:rFonts w:ascii="Microsoft YaHei" w:hAnsi="Microsoft YaHei" w:eastAsia="Microsoft YaHei"/>
                <w:sz w:val="18"/>
              </w:rPr>
              <w:t>条件可选：无证据不启用，不阻断首发闭环</w:t>
            </w:r>
          </w:p>
        </w:tc>
        <w:tc>
          <w:tcPr>
            <w:tcW w:type="dxa" w:w="2880"/>
          </w:tcPr>
          <w:p>
            <w:r/>
            <w:r>
              <w:rPr>
                <w:rFonts w:ascii="Microsoft YaHei" w:hAnsi="Microsoft YaHei" w:eastAsia="Microsoft YaHei"/>
                <w:sz w:val="18"/>
              </w:rPr>
              <w:t>主策书面理由+复审时点；部分证据但未达P1</w:t>
            </w:r>
          </w:p>
        </w:tc>
        <w:tc>
          <w:tcPr>
            <w:tcW w:type="dxa" w:w="2088"/>
          </w:tcPr>
          <w:p>
            <w:r/>
            <w:r>
              <w:rPr>
                <w:rFonts w:ascii="Microsoft YaHei" w:hAnsi="Microsoft YaHei" w:eastAsia="Microsoft YaHei"/>
                <w:sz w:val="18"/>
              </w:rPr>
              <w:t>轻量模式（策划判断+A+D）；证据不足直接N/A；指标证明价值后升级完整A–H</w:t>
            </w:r>
          </w:p>
        </w:tc>
      </w:tr>
    </w:tbl>
    <w:p>
      <w:pPr>
        <w:spacing w:after="40"/>
      </w:pPr>
    </w:p>
    <w:p>
      <w:pPr>
        <w:pStyle w:val="Heading1"/>
      </w:pPr>
      <w:r>
        <w:rPr>
          <w:rFonts w:ascii="Microsoft YaHei" w:hAnsi="Microsoft YaHei" w:eastAsia="Microsoft YaHei"/>
        </w:rPr>
        <w:t>2.5 P2 级别与轻量模式（v3.0 新增）</w:t>
      </w:r>
    </w:p>
    <w:p>
      <w:r>
        <w:rPr>
          <w:rFonts w:ascii="Microsoft YaHei" w:hAnsi="Microsoft YaHei" w:eastAsia="Microsoft YaHei"/>
          <w:b w:val="0"/>
          <w:i w:val="0"/>
          <w:sz w:val="21"/>
        </w:rPr>
        <w:t>P2 为条件可选级别：无竞品证据或指标场景不启用；启用需主策书面理由并登记复审时点。为避免全部系统都走完整八段 A–H 的填写负担，P2 系统采用轻量模式。</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655"/>
          </w:tcPr>
          <w:p>
            <w:r/>
            <w:r>
              <w:rPr>
                <w:rFonts w:ascii="Microsoft YaHei" w:hAnsi="Microsoft YaHei" w:eastAsia="Microsoft YaHei"/>
                <w:b/>
                <w:sz w:val="18"/>
              </w:rPr>
              <w:t>级别</w:t>
            </w:r>
          </w:p>
        </w:tc>
        <w:tc>
          <w:tcPr>
            <w:tcW w:type="dxa" w:w="1871"/>
          </w:tcPr>
          <w:p>
            <w:r/>
            <w:r>
              <w:rPr>
                <w:rFonts w:ascii="Microsoft YaHei" w:hAnsi="Microsoft YaHei" w:eastAsia="Microsoft YaHei"/>
                <w:b/>
                <w:sz w:val="18"/>
              </w:rPr>
              <w:t>定义</w:t>
            </w:r>
          </w:p>
        </w:tc>
        <w:tc>
          <w:tcPr>
            <w:tcW w:type="dxa" w:w="2245"/>
          </w:tcPr>
          <w:p>
            <w:r/>
            <w:r>
              <w:rPr>
                <w:rFonts w:ascii="Microsoft YaHei" w:hAnsi="Microsoft YaHei" w:eastAsia="Microsoft YaHei"/>
                <w:b/>
                <w:sz w:val="18"/>
              </w:rPr>
              <w:t>进入条件</w:t>
            </w:r>
          </w:p>
        </w:tc>
        <w:tc>
          <w:tcPr>
            <w:tcW w:type="dxa" w:w="2806"/>
          </w:tcPr>
          <w:p>
            <w:r/>
            <w:r>
              <w:rPr>
                <w:rFonts w:ascii="Microsoft YaHei" w:hAnsi="Microsoft YaHei" w:eastAsia="Microsoft YaHei"/>
                <w:b/>
                <w:sz w:val="18"/>
              </w:rPr>
              <w:t>填写范围</w:t>
            </w:r>
          </w:p>
        </w:tc>
        <w:tc>
          <w:tcPr>
            <w:tcW w:type="dxa" w:w="1777"/>
          </w:tcPr>
          <w:p>
            <w:r/>
            <w:r>
              <w:rPr>
                <w:rFonts w:ascii="Microsoft YaHei" w:hAnsi="Microsoft YaHei" w:eastAsia="Microsoft YaHei"/>
                <w:b/>
                <w:sz w:val="18"/>
              </w:rPr>
              <w:t>退出/降级规则</w:t>
            </w:r>
          </w:p>
        </w:tc>
      </w:tr>
      <w:tr>
        <w:tc>
          <w:tcPr>
            <w:tcW w:type="dxa" w:w="655"/>
          </w:tcPr>
          <w:p>
            <w:r/>
            <w:r>
              <w:rPr>
                <w:rFonts w:ascii="Microsoft YaHei" w:hAnsi="Microsoft YaHei" w:eastAsia="Microsoft YaHei"/>
                <w:sz w:val="18"/>
              </w:rPr>
              <w:t>P2</w:t>
            </w:r>
          </w:p>
        </w:tc>
        <w:tc>
          <w:tcPr>
            <w:tcW w:type="dxa" w:w="1871"/>
          </w:tcPr>
          <w:p>
            <w:r/>
            <w:r>
              <w:rPr>
                <w:rFonts w:ascii="Microsoft YaHei" w:hAnsi="Microsoft YaHei" w:eastAsia="Microsoft YaHei"/>
                <w:sz w:val="18"/>
              </w:rPr>
              <w:t>条件可选/锦上添花，不阻断首发闭环</w:t>
            </w:r>
          </w:p>
        </w:tc>
        <w:tc>
          <w:tcPr>
            <w:tcW w:type="dxa" w:w="2245"/>
          </w:tcPr>
          <w:p>
            <w:r/>
            <w:r>
              <w:rPr>
                <w:rFonts w:ascii="Microsoft YaHei" w:hAnsi="Microsoft YaHei" w:eastAsia="Microsoft YaHei"/>
                <w:sz w:val="18"/>
              </w:rPr>
              <w:t>主策书面理由+复审时点；有部分证据但未达P1标准</w:t>
            </w:r>
          </w:p>
        </w:tc>
        <w:tc>
          <w:tcPr>
            <w:tcW w:type="dxa" w:w="2806"/>
          </w:tcPr>
          <w:p>
            <w:r/>
            <w:r>
              <w:rPr>
                <w:rFonts w:ascii="Microsoft YaHei" w:hAnsi="Microsoft YaHei" w:eastAsia="Microsoft YaHei"/>
                <w:sz w:val="18"/>
              </w:rPr>
              <w:t>轻量模式：仅填 ①策划判断 ②A. 功能开启/前置/操作/后置 ③D. 表结构（新增表与原表新增字段/值）</w:t>
            </w:r>
          </w:p>
        </w:tc>
        <w:tc>
          <w:tcPr>
            <w:tcW w:type="dxa" w:w="1777"/>
          </w:tcPr>
          <w:p>
            <w:r/>
            <w:r>
              <w:rPr>
                <w:rFonts w:ascii="Microsoft YaHei" w:hAnsi="Microsoft YaHei" w:eastAsia="Microsoft YaHei"/>
                <w:sz w:val="18"/>
              </w:rPr>
              <w:t>证据不足直接N/A；指标证明价值后升级为完整 A–H</w:t>
            </w:r>
          </w:p>
        </w:tc>
      </w:tr>
    </w:tbl>
    <w:p>
      <w:r>
        <w:rPr>
          <w:rFonts w:ascii="Microsoft YaHei" w:hAnsi="Microsoft YaHei" w:eastAsia="Microsoft YaHei"/>
          <w:b w:val="0"/>
          <w:i w:val="0"/>
          <w:sz w:val="21"/>
        </w:rPr>
        <w:t>轻量模式规则：1) B（UI）/C（脚本权威）/E（资源）/F（埋点）/G（性能）/H（QA）延迟交付，但必须在系统表头登记『延迟交付项+复审时点』；2) D 表结构必须字段级定义并经程序评审，不得省略权威校验/审计/回滚；3) 轻量系统不进入完整 QA/性能闸门，但上线前必须通过第11章『发布闸门』中的合规与回滚项；4) P0 数据或运营指标证明价值后，按完整 A–H 补齐并进入发布闸门。</w:t>
      </w:r>
    </w:p>
    <w:p>
      <w:pPr>
        <w:pStyle w:val="Heading1"/>
      </w:pPr>
      <w:r>
        <w:t>3. P0横切交付包（每个启用系统必须填写）</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792"/>
        <w:gridCol w:w="3024"/>
        <w:gridCol w:w="3816"/>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交付包</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级别</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解决的缺口</w:t>
            </w:r>
          </w:p>
        </w:tc>
        <w:tc>
          <w:tcPr>
            <w:tcW w:type="dxa" w:w="381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在每个系统中的落点</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D01 数值与平衡</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公式、曲线、source/sink、预期值与版本比较</w:t>
            </w:r>
          </w:p>
        </w:tc>
        <w:tc>
          <w:tcPr>
            <w:tcW w:type="dxa" w:w="381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Schema中的公式/曲线字段；指标目标；平衡变更记录</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D02 字段级Schema</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字段名/类型/范围/默认/校验/外键/端归属</w:t>
            </w:r>
          </w:p>
        </w:tc>
        <w:tc>
          <w:tcPr>
            <w:tcW w:type="dxa" w:w="381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每系统“新增表+原表加字段/值”</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D03 系统埋点清单</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事件、字段、触发时机、来源与数据目标</w:t>
            </w:r>
          </w:p>
        </w:tc>
        <w:tc>
          <w:tcPr>
            <w:tcW w:type="dxa" w:w="381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每系统至少进入/操作/权威结果三类事件</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D04 性能指标</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帧率、内存、DrawCall、包体、带宽、接口与并发</w:t>
            </w:r>
          </w:p>
        </w:tc>
        <w:tc>
          <w:tcPr>
            <w:tcW w:type="dxa" w:w="381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每系统客户端/网络/服务器/资源预算</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D05 QA用例</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功能、边界、并发、兼容、资源、埋点与性能</w:t>
            </w:r>
          </w:p>
        </w:tc>
        <w:tc>
          <w:tcPr>
            <w:tcW w:type="dxa" w:w="381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每系统P0红线和P1体验用例</w:t>
            </w:r>
          </w:p>
        </w:tc>
      </w:tr>
    </w:tbl>
    <w:p>
      <w:pPr>
        <w:spacing w:after="40"/>
      </w:pPr>
    </w:p>
    <w:p>
      <w:pPr>
        <w:pStyle w:val="Heading1"/>
      </w:pPr>
      <w:r>
        <w:t>4. P0/P1新增系统总览</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792"/>
        <w:gridCol w:w="2664"/>
        <w:gridCol w:w="4968"/>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系统ID</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级别</w:t>
            </w:r>
          </w:p>
        </w:tc>
        <w:tc>
          <w:tcPr>
            <w:tcW w:type="dxa" w:w="266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系统</w:t>
            </w:r>
          </w:p>
        </w:tc>
        <w:tc>
          <w:tcPr>
            <w:tcW w:type="dxa" w:w="49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定位</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S48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邮件、附件与补偿系统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承接系统通知、奖励附件、全服补偿、定向群发、过期回收和可审计领取。</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S49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实名认证与防沉迷系统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完成实名状态校验、未成年人时段与时长限制、付费限额、游客限制和合规提示。</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红点、角标与通知聚合系统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以可追溯条件树聚合未读、可领取、可升级和限时提醒，避免业务系统各自硬编码红点。</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运营后台、GM工具与数据看板系统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提供配置审批、活动预览、玩家查询、GM指令、补发回滚、审计日志与核心指标看板。</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S52</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灰度发布与A/B测试系统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按账号、设备、渠道、地区和随机桶分流配置与功能，支持实验互斥、指标归因和一键回滚。</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S53</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风控、反作弊与处罚系统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覆盖客户端篡改、速度/协议异常、脚本、黑产工作室、支付与交易风险、举报调查和分级处罚。</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S54</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分享、邀请与裂变传播系统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管理分享卡片、渠道参数、邀请关系、归因、阶梯奖励、反刷和隐私边界。</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网络同步、帧同步与断线重连系统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按玩法选择锁步、快照、预测回滚或权威服务器，同步输入/状态并处理抖动、丢包、重连与追帧。</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S56</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兑换码与礼包码系统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校验码批次、渠道、有效期、次数、账号资格和奖励事务，并提供核销与风控审计。</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S57</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客服工单与玩家反馈系统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收集问题分类、描述、附件、设备与日志，形成可分派、可追踪、可评价的客服闭环。</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推送通知与召回系统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在权限、频控、时区和用户偏好约束下发送本地/远程通知，并闭环到达、点击和转化。</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S59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装扮、外观、称号与头像框系统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统一管理皮肤、染色、挂件、称号、头像框的获得、试穿、装配、展示优先级和过期。</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S60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隐私合规与权限聚合系统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聚合隐私政策、同意记录、SDK清单、权限用途、撤回、注销、数据导出与删除流程。</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S61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寻路、导航与路线引导系统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管理NavMesh/网格、动态障碍、路径成本、局部避障、目标导航、路线重算和不可达反馈。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S62</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版本发布、CI/CD与上架审核系统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串联构建、签名、自动测试、制品、灰度、商店素材与审核、回滚和版本公告。</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S63</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关卡设计与难度曲线文档系统</w:t>
            </w:r>
          </w:p>
        </w:tc>
        <w:tc>
          <w:tcPr>
            <w:tcW w:type="dxa" w:w="49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把关卡目标、教学点、空间/波次、资源投放、节奏、难度、失败原因和验证数据结构化。</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S64</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P1</w:t>
            </w:r>
          </w:p>
        </w:tc>
        <w:tc>
          <w:tcPr>
            <w:tcW w:type="dxa" w:w="26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术语表、变更记录与决策日志系统</w:t>
            </w:r>
          </w:p>
        </w:tc>
        <w:tc>
          <w:tcPr>
            <w:tcW w:type="dxa" w:w="49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维护唯一术语、字段语义、版本变更、兼容影响、迁移方案和关键设计决策，避免口径漂移。</w:t>
            </w:r>
          </w:p>
        </w:tc>
      </w:tr>
    </w:tbl>
    <w:p>
      <w:pPr>
        <w:spacing w:after="40"/>
      </w:pPr>
    </w:p>
    <w:p>
      <w:pPr>
        <w:pStyle w:val="Heading1"/>
      </w:pPr>
      <w:r>
        <w:t>5. 游戏类型P0/P1选型矩阵</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720"/>
        <w:gridCol w:w="1584"/>
        <w:gridCol w:w="1800"/>
        <w:gridCol w:w="2520"/>
        <w:gridCol w:w="2736"/>
      </w:tblGrid>
      <w:tr>
        <w:trPr>
          <w:tblHeader w:val="true"/>
          <w:cantSplit/>
        </w:trPr>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类型</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游戏类型</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核心原型</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P0核心/基础</w:t>
            </w:r>
          </w:p>
        </w:tc>
        <w:tc>
          <w:tcPr>
            <w:tcW w:type="dxa" w:w="27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P1候选（须有证据）</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G01</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ARPG/动作 RPG</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操作型+战斗Build+探索</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S01,S10,S16-S20,S23,S38,S42-S46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S01,S10,S11,S16-S26,S38-S46；并按市场/平台评估S48-S64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G02</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FPS/TPS</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射击型+操作型+竞技</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S03,S10,S19,S35,S38,S42-S46,S53,S55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S03,S10,S11,S19,S20,S25-S27,S35-S46；并按市场/平台评估S48-S64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G03</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格斗</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操作型+战斗Build+竞技</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S01,S10,S16-S18,S35,S38,S42-S46,S53,S55</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S01,S10,S16-S18,S23,S35-S46；并按市场/平台评估S48-S64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G04</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平台跳跃</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操作型+探索+解谜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S06,S10-S12,S23,S38,S42-S46</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S06,S10-S12,S23-S25,S37-S46；并按市场/平台评估S48-S64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G05</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RPG</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战斗Build+探索+叙事</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S01/S02,S07-S11,S16-S20,S23,S38,S42-S46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S01/S02,S07-S11,S16-S28,S37-S46；并按市场/平台评估S48-S64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G06</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MMORPG</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RPG+社交+持续世界</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S01/S02,S07-S11,S16-S20,S23,S25,S33-S35,S38,S42-S46,S48,S50,S53,S55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S01/S02,S07-S11,S16-S28,S32-S46；并按市场/平台评估S48-S64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G07</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回合制 RPG</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阵容型+战斗Build+叙事</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S02,S05,S07-S10,S16-S20,S23,S38,S42-S46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S02,S05,S07-S10,S16-S28,S37-S46；并按市场/平台评估S48-S64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G08</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SLG</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战略型+建造型+社交</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S10,S20,S23,S25,S29-S33,S38,S42-S46,S48,S50,S51,S53</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S10,S20,S23,S25-S27,S29-S46；并按市场/平台评估S48-S64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G09</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RTS</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战略型+操作型</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S01,S10,S29-S32,S35,S38,S42-S46,S53,S55</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S01,S10,S25-S26,S29-S32,S35-S46；并按市场/平台评估S48-S64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G10</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4X</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探索+扩张+开发+征服</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S10,S25,S29-S33,S38,S42-S46,S48,S50,S51</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S10,S25-S33,S36-S46；并按市场/平台评估S48-S64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G11</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塔防</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战略型+阵容型</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S01/S02,S05,S10,S18,S23,S25,S29,S38,S42-S46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S01/S02,S05,S10,S18,S25-S31,S37-S46；并按市场/平台评估S48-S64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G12</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MOBA</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操作型+阵容型+竞技</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S01,S05,S10,S16-S19,S35,S36,S38,S42-S46,S53,S55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S01,S05,S10,S16-S19,S25,S35-S46；并按市场/平台评估S48-S64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G13</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Battle Royale</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射击型+生存型+竞技</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S03,S10,S11,S15,S19-S21,S35,S36,S38,S42-S46,S53,S55</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S03,S10,S11,S15,S19-S21,S25-S27,S35-S46；并按市场/平台评估S48-S64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G14</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搜打撤</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射击型+生存型+经济</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S03,S10,S11,S15,S19-S26,S35,S38,S42-S46,S53,S55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S03,S10,S11,S15,S19-S27,S35-S46；并按市场/平台评估S48-S64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G15</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Roguelike/Roguelite</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战斗Build+随机+重复挑战</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S01/S02,S06,S10,S16-S23,S38,S42-S46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S01/S02,S06,S10,S16-S28,S37-S46；并按市场/平台评估S48-S64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G16</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卡牌/CCG</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卡组型+策略型+收集</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S04,S16-S18,S20,S23-S27,S38,S42-S46</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S04,S16-S18,S23-S28,S35-S46；并按市场/平台评估S48-S64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G17</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自走棋</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阵容型+经济+自动战斗</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S05,S16-S19,S25,S35,S38,S42-S46,S55</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S05,S16-S19,S25-S28,S35-S46；并按市场/平台评估S48-S64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G18</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模拟经营</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经营型+建造型</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S10,S20,S23,S25,S29,S30,S38,S42-S46</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S10,S20,S23-S31,S36-S46；并按市场/平台评估S48-S64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G19</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城市建造</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建造型+经营型</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S10,S25,S29-S31,S38,S42-S46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S10,S25-S31,S36-S46；并按市场/平台评估S48-S64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G20</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生活模拟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经营+社交+收集</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S07-S10,S16,S20,S23-S25,S29,S33,S38,S42-S46</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S07-S10,S16-S27,S29,S33-S46；并按市场/平台评估S48-S64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G21</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生存建造</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生存+探索+建造</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S01,S10-S12,S15,S19-S23,S29,S38,S42-S46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S01,S10-S12,S15,S19-S31,S37-S46；并按市场/平台评估S48-S64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G22</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沙盒/UGC</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创造型+建造型+社交</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S10-S12,S20,S29,S33-S35,S38,S42-S47,S53</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S10-S12,S20,S25-S27,S29,S33-S47；并按市场/平台评估S48-S64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G23</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解谜</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解谜型+探索</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S06-S12,S23,S38,S42-S46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S06-S12,S23-S25,S37-S46；并按市场/平台评估S48-S64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G24</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冒险/AVG</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探索+叙事选择+解谜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S06-S11,S16,S20,S23,S38,S42-S46</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S06-S11,S16,S20,S23-S25,S37-S46；并按市场/平台评估S48-S64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G25</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视觉小说/乙女</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叙事选择+关系+收集</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S07-S10,S16,S23,S24,S38,S42-S46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S07-S10,S16,S23-S25,S33,S36,S38-S46；并按市场/平台评估S48-S64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G26</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音游</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操作型+节奏+收集</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S10,S13,S16,S23,S35,S38,S42-S46,S55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S10,S13,S16,S23-S28,S35-S46；并按市场/平台评估S48-S64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G27</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竞速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操作型+竞技+载具Build</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S10,S14,S16-S20,S35,S38,S42-S46,S53,S55</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S10,S14,S16-S20,S23-S27,S35-S46；并按市场/平台评估S48-S64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G28</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体育</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操作/阵容+竞技</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S01/S02,S05,S10,S16-S19,S35,S36,S38,S42-S46,S55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S01/S02,S05,S10,S16-S19,S23-S27,S35-S46；并按市场/平台评估S48-S64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G29</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派对游戏</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多人操作+随机规则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S01/S06,S10,S35,S38,S42-S46,S55</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S01/S06,S10,S33-S46；并按市场/平台评估S48-S64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G30</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社交推理</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社交型+身份信息差</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S07,S10,S33-S35,S38,S42-S46,S53,S55</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S07,S10,S33-S39,S42-S46；并按市场/平台评估S48-S64</w:t>
            </w:r>
          </w:p>
        </w:tc>
      </w:tr>
      <w:tr>
        <w:trPr>
          <w:cantSplit/>
        </w:trPr>
        <w:tc>
          <w:tcPr>
            <w:tcW w:type="dxa" w:w="72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G31</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放置/Idle</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经营型+自动成长</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S05,S16-S18,S20,S23,S25,S28,S30,S38,S42-S46</w:t>
            </w:r>
          </w:p>
        </w:tc>
        <w:tc>
          <w:tcPr>
            <w:tcW w:type="dxa" w:w="27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S05,S16-S31,S37-S46；并按市场/平台评估S48-S64</w:t>
            </w:r>
          </w:p>
        </w:tc>
      </w:tr>
      <w:tr>
        <w:trPr>
          <w:cantSplit/>
        </w:trPr>
        <w:tc>
          <w:tcPr>
            <w:tcW w:type="dxa" w:w="72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G32</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三消/休闲解谜</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解谜型+关卡成长</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S06,S10,S23,S25,S28,S38,S42-S46</w:t>
            </w:r>
          </w:p>
        </w:tc>
        <w:tc>
          <w:tcPr>
            <w:tcW w:type="dxa" w:w="27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S06,S10,S23-S28,S37-S46；并按市场/平台评估S48-S64</w:t>
            </w:r>
          </w:p>
        </w:tc>
      </w:tr>
    </w:tbl>
    <w:p>
      <w:pPr>
        <w:spacing w:after="40"/>
      </w:pPr>
    </w:p>
    <w:p>
      <w:pPr>
        <w:pStyle w:val="Heading1"/>
      </w:pPr>
      <w:r>
        <w:t>6. 系统模板索引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792"/>
        <w:gridCol w:w="1008"/>
        <w:gridCol w:w="2232"/>
        <w:gridCol w:w="1800"/>
        <w:gridCol w:w="3528"/>
      </w:tblGrid>
      <w:tr>
        <w:trPr>
          <w:tblHeader w:val="true"/>
          <w:cantSplit/>
        </w:trPr>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系统ID</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默认级别</w:t>
            </w:r>
          </w:p>
        </w:tc>
        <w:tc>
          <w:tcPr>
            <w:tcW w:type="dxa" w:w="223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系统</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层级</w:t>
            </w:r>
          </w:p>
        </w:tc>
        <w:tc>
          <w:tcPr>
            <w:tcW w:type="dxa" w:w="35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适用游戏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实时战斗系统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动作、RTS、MOBA、塔防、生存、多人竞技</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回合战斗系统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回合RPG、策略、卡牌、战棋</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射击战斗系统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FPS/TPS、Battle Royale、搜打撤</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卡牌战斗与卡组系统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CCG、卡牌RPG、Deckbuilder</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S05</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阵容与自动战斗系统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自走棋、放置、回合RPG、体育经理</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S06</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谜题与机关系统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解谜、AVG、平台、三消、Roguelite事件</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S07</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对话系统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RPG、AVG、视觉小说、解谜、社交推理</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S08</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剧情线与分支系统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RPG、AVG、视觉小说、解谜、生活模拟</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S09</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关系、好感与结局系统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视觉小说、生活模拟、RPG、叙事选择</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关卡、波次与检查点系统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绝大多数关卡制游戏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地图、世界与探索系统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RPG、SLG、RTS、生存、冒险、沙盒</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物理与交互系统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平台、沙盒、解谜、生存、动作</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节奏与判定系统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音游、节奏战斗、音乐活动</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竞速、车辆与赛道系统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竞速、载具战斗、体育</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S15</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生存状态系统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核心玩法</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生存建造、Battle Royale、搜打撤</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S16</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角色与角色档案系统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RPG、卡牌、体育、生活模拟、叙事</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S17</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属性、状态与Buff系统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RPG、动作、策略、卡牌、体育</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S18</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技能、天赋与能力系统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RPG、动作、卡牌、塔防、策略</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S19</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装备、武器与配件系统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RPG、射击、搜打撤、竞速、体育</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背包、仓库与物品系统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经济</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RPG、生存、搜打撤、SLG、生活模拟</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掉落、战利品与奖励池系统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经济</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战斗、RPG、搜打撤、Roguelite、放置</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制作、合成与分解系统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经济</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生存、RPG、经营、沙盒</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任务、目标与成就系统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内容/成长</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几乎所有长线游戏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收藏、图鉴与画廊系统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收集、RPG、视觉小说、解谜、休闲</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S25</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货币、资源与经济系统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经济</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所有带成长/经营/商业化的游戏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S26</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商店、交易与拍卖系统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经济/商业化</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RPG、SLG、MMO、经营、搜打撤</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S27</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抽取、卡池与保底系统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商业化/成长</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Gacha、卡牌、角色收集</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S28</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养成、升级与突破系统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RPG、卡牌、放置、塔防、经营</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S29</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建筑、城建与空间规划系统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SLG、模拟经营、城市建造、生存、沙盒</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生产、订单与离线收益系统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经济</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经营、SLG、Idle、城市建造</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科技树、政策与研究系统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SLG、RTS、4X、经营、城市建造</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军队、战争与领土系统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核心/内容</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SLG、4X、RTS、MMO</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联盟、公会与外交系统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社交</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SLG、MMO、4X、生活模拟</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好友、聊天与社交系统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社交</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MMO、生活模拟、派对、社交推理、沙盒</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S35</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匹配、房间与组队系统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社交/内容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竞技、合作、派对、音游、体育</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S36</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排行榜、段位与赛季系统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成长/社交</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竞技、卡牌、体育、音游、SLG</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S37</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AI、NPC与行为系统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单机、PVE、训练、补位</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S38</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存档、账号与玩家档案系统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所有有进度的游戏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S39</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教程、新手引导与帮助系统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所有需要学习成本的游戏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活动、日历与LiveOps系统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长线运营</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所有长线运营游戏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商业化、支付与广告系统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商业化</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免费游戏、混合变现游戏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文案、本地化与叙事资源系统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埋点、指标与日志系统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基础设施</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所有上线游戏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资源加载、Manifest与热更新系统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S45</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音频、语音与混音系统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表现</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S46</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设置、可访问性与设备适配系统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S47</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按游戏类型定级</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UGC编辑器、发布与审核系统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创造/社交</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沙盒、关卡编辑、装扮创作</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S48</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邮件、附件与补偿系统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长线运营基础设施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F2P、长线运营、联网游戏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S49</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实名认证与防沉迷系统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合规基础设施</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中国大陆上线游戏、未成年人可访问产品</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红点、角标与通知聚合系统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所有多入口、多成长、多活动游戏</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运营后台、GM工具与数据看板系统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运营基础设施</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F2P、长线运营、客服与运营团队</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灰度发布与A/B测试系统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发布/实验基础设施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移动F2P、快速迭代与数据驱动产品</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风控、反作弊与处罚系统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安全基础设施</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联网、竞技、交易、排行榜、商业化游戏</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分享、邀请与裂变传播系统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增长基础设施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微信/抖音小游戏、社交传播、买量产品</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S55</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网络同步、帧同步与断线重连系统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网络基础设施</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实时竞技、合作、多人房间、强一致战斗</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S56</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兑换码与礼包码系统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市场/运营</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投放、联运、直播、线下活动</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S57</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客服工单与玩家反馈系统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客服基础设施</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长线运营、付费与复杂联网产品</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S58</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推送通知与召回系统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增长/运营基础设施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移动端、小游戏订阅消息、长线运营</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S59</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装扮、外观、称号与头像框系统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成长/商业化</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角色收集、社交展示、赛季奖励</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S60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隐私合规与权限聚合系统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合规基础设施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所有采集个人信息或调用系统权限的产品</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S61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寻路、导航与路线引导系统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核心/内容</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RPG、SLG、RTS、生存、开放地图、城建</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S62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版本发布、CI/CD与上架审核系统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研发/发布基础设施</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所有持续发布产品</w:t>
            </w:r>
          </w:p>
        </w:tc>
      </w:tr>
      <w:tr>
        <w:trPr>
          <w:cantSplit/>
        </w:trPr>
        <w:tc>
          <w:tcPr>
            <w:tcW w:type="dxa" w:w="79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S63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关卡设计与难度曲线文档系统</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内容生产</w:t>
            </w:r>
          </w:p>
        </w:tc>
        <w:tc>
          <w:tcPr>
            <w:tcW w:type="dxa" w:w="35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关卡制、波次制、谜题、战斗、三消、塔防</w:t>
            </w:r>
          </w:p>
        </w:tc>
      </w:tr>
      <w:tr>
        <w:trPr>
          <w:cantSplit/>
        </w:trPr>
        <w:tc>
          <w:tcPr>
            <w:tcW w:type="dxa" w:w="79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S64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223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术语表、变更记录与决策日志系统</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研发治理</w:t>
            </w:r>
          </w:p>
        </w:tc>
        <w:tc>
          <w:tcPr>
            <w:tcW w:type="dxa" w:w="35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跨团队、长周期、AI协作项目</w:t>
            </w:r>
          </w:p>
        </w:tc>
      </w:tr>
    </w:tbl>
    <w:p>
      <w:pPr>
        <w:spacing w:after="40"/>
      </w:pPr>
    </w:p>
    <w:p>
      <w:pPr>
        <w:pStyle w:val="Heading1"/>
      </w:pPr>
      <w:r>
        <w:t>7. 系统策划开发模板库</w:t>
      </w:r>
    </w:p>
    <w:p>
      <w:r>
        <w:br w:type="page"/>
      </w:r>
    </w:p>
    <w:p>
      <w:pPr>
        <w:pStyle w:val="Heading2"/>
      </w:pPr>
      <w:r>
        <w:rPr>
          <w:rFonts w:ascii="Microsoft YaHei" w:hAnsi="Microsoft YaHei" w:eastAsia="Microsoft YaHei"/>
        </w:rPr>
        <w:t>7.0 空白系统模板（新增系统母版 · v3.0 新增）</w:t>
      </w:r>
    </w:p>
    <w:p>
      <w:r>
        <w:rPr>
          <w:rFonts w:ascii="Microsoft YaHei" w:hAnsi="Microsoft YaHei" w:eastAsia="Microsoft YaHei"/>
          <w:b w:val="0"/>
          <w:i/>
          <w:color w:val="666666"/>
          <w:sz w:val="20"/>
        </w:rPr>
        <w:t>新增系统（S65 起）复制本节并按 A–H 填写；P2 轻量模式仅填 ①策划判断 ②A ③D。&lt;尖括号&gt; 为填写提示，完成后删除；事实、推断、建议不得混写。</w:t>
      </w:r>
    </w:p>
    <w:p>
      <w:r>
        <w:rPr>
          <w:rFonts w:ascii="Microsoft YaHei" w:hAnsi="Microsoft YaHei" w:eastAsia="Microsoft YaHei"/>
          <w:b/>
          <w:i w:val="0"/>
          <w:sz w:val="22"/>
        </w:rPr>
        <w:t>&lt;新系统ID&gt;｜&lt;系统名&gt;</w:t>
      </w:r>
    </w:p>
    <w:p>
      <w:r>
        <w:rPr>
          <w:rFonts w:ascii="Microsoft YaHei" w:hAnsi="Microsoft YaHei" w:eastAsia="Microsoft YaHei"/>
          <w:b w:val="0"/>
          <w:i w:val="0"/>
          <w:sz w:val="21"/>
        </w:rPr>
        <w:t>策划判断　①竞品可见事实与证据ID：&lt;证据截图/链接/版本日期&gt;；②解决的玩家问题：&lt;学习/目标/策略/留存/付费/传播/效率&gt;；③可迁移机制：&lt;状态机/规则/输入输出&gt;；④本项目适配差异：&lt;类型/节奏/平台/受众/商业化/产能&gt;；⑤非目标与风险：&lt;不做什么/风险/验证指标&gt;。若该机制不能改善本项目核心循环、目标指标或生产效率，则标记 N/A。</w:t>
      </w:r>
    </w:p>
    <w:tbl>
      <w:tblPr>
        <w:tblStyle w:val="TableGrid"/>
        <w:tblW w:type="auto" w:w="0"/>
        <w:tblLayout w:type="fixed"/>
        <w:tblLook w:firstColumn="1" w:firstRow="1" w:lastColumn="0" w:lastRow="0" w:noHBand="0" w:noVBand="1" w:val="04A0"/>
      </w:tblPr>
      <w:tblGrid>
        <w:gridCol w:w="4680"/>
        <w:gridCol w:w="4680"/>
      </w:tblGrid>
      <w:tr>
        <w:tc>
          <w:tcPr>
            <w:tcW w:type="dxa" w:w="1497"/>
          </w:tcPr>
          <w:p>
            <w:r/>
            <w:r>
              <w:rPr>
                <w:rFonts w:ascii="Microsoft YaHei" w:hAnsi="Microsoft YaHei" w:eastAsia="Microsoft YaHei"/>
                <w:b/>
                <w:sz w:val="18"/>
              </w:rPr>
              <w:t>范围</w:t>
            </w:r>
          </w:p>
        </w:tc>
        <w:tc>
          <w:tcPr>
            <w:tcW w:type="dxa" w:w="7858"/>
          </w:tcPr>
          <w:p>
            <w:r/>
            <w:r>
              <w:rPr>
                <w:rFonts w:ascii="Microsoft YaHei" w:hAnsi="Microsoft YaHei" w:eastAsia="Microsoft YaHei"/>
                <w:b/>
                <w:sz w:val="18"/>
              </w:rPr>
              <w:t>策划开发要求</w:t>
            </w:r>
          </w:p>
        </w:tc>
      </w:tr>
      <w:tr>
        <w:tc>
          <w:tcPr>
            <w:tcW w:type="dxa" w:w="1497"/>
          </w:tcPr>
          <w:p>
            <w:r/>
            <w:r>
              <w:rPr>
                <w:rFonts w:ascii="Microsoft YaHei" w:hAnsi="Microsoft YaHei" w:eastAsia="Microsoft YaHei"/>
                <w:sz w:val="18"/>
              </w:rPr>
              <w:t>P0</w:t>
            </w:r>
          </w:p>
        </w:tc>
        <w:tc>
          <w:tcPr>
            <w:tcW w:type="dxa" w:w="7858"/>
          </w:tcPr>
          <w:p>
            <w:r/>
            <w:r>
              <w:rPr>
                <w:rFonts w:ascii="Microsoft YaHei" w:hAnsi="Microsoft YaHei" w:eastAsia="Microsoft YaHei"/>
                <w:sz w:val="18"/>
              </w:rPr>
              <w:t>&lt;最短可玩闭环：进入→操作→权威结算→反馈→持久化&gt;</w:t>
            </w:r>
          </w:p>
        </w:tc>
      </w:tr>
      <w:tr>
        <w:tc>
          <w:tcPr>
            <w:tcW w:type="dxa" w:w="1497"/>
          </w:tcPr>
          <w:p>
            <w:r/>
            <w:r>
              <w:rPr>
                <w:rFonts w:ascii="Microsoft YaHei" w:hAnsi="Microsoft YaHei" w:eastAsia="Microsoft YaHei"/>
                <w:sz w:val="18"/>
              </w:rPr>
              <w:t>P1</w:t>
            </w:r>
          </w:p>
        </w:tc>
        <w:tc>
          <w:tcPr>
            <w:tcW w:type="dxa" w:w="7858"/>
          </w:tcPr>
          <w:p>
            <w:r/>
            <w:r>
              <w:rPr>
                <w:rFonts w:ascii="Microsoft YaHei" w:hAnsi="Microsoft YaHei" w:eastAsia="Microsoft YaHei"/>
                <w:sz w:val="18"/>
              </w:rPr>
              <w:t>&lt;留存/深度指标证明后扩展的高级规则/组合内容/便捷操作/运营化能力&gt;</w:t>
            </w:r>
          </w:p>
        </w:tc>
      </w:tr>
      <w:tr>
        <w:tc>
          <w:tcPr>
            <w:tcW w:type="dxa" w:w="1497"/>
          </w:tcPr>
          <w:p>
            <w:r/>
            <w:r>
              <w:rPr>
                <w:rFonts w:ascii="Microsoft YaHei" w:hAnsi="Microsoft YaHei" w:eastAsia="Microsoft YaHei"/>
                <w:sz w:val="18"/>
              </w:rPr>
              <w:t>非目标</w:t>
            </w:r>
          </w:p>
        </w:tc>
        <w:tc>
          <w:tcPr>
            <w:tcW w:type="dxa" w:w="7858"/>
          </w:tcPr>
          <w:p>
            <w:r/>
            <w:r>
              <w:rPr>
                <w:rFonts w:ascii="Microsoft YaHei" w:hAnsi="Microsoft YaHei" w:eastAsia="Microsoft YaHei"/>
                <w:sz w:val="18"/>
              </w:rPr>
              <w:t>&lt;不复制竞品专有数值/UI/内容；不因类型惯例自动启用&gt;</w:t>
            </w:r>
          </w:p>
        </w:tc>
      </w:tr>
    </w:tbl>
    <w:p>
      <w:r>
        <w:rPr>
          <w:rFonts w:ascii="Microsoft YaHei" w:hAnsi="Microsoft YaHei" w:eastAsia="Microsoft YaHei"/>
          <w:b w:val="0"/>
          <w:i w:val="0"/>
          <w:sz w:val="21"/>
        </w:rPr>
        <w:t>目标：&lt;玩家价值/产品价值&gt;｜层级：&lt;核心玩法/内容/成长/经济/社交/商业化/基础设施/合规/长线运营/增长&gt;｜适用：&lt;类型&gt;｜优先级：&lt;P0/P1/P2&gt;</w:t>
      </w:r>
    </w:p>
    <w:p>
      <w:r>
        <w:rPr>
          <w:rFonts w:ascii="Microsoft YaHei" w:hAnsi="Microsoft YaHei" w:eastAsia="Microsoft YaHei"/>
          <w:b w:val="0"/>
          <w:i w:val="0"/>
          <w:sz w:val="21"/>
        </w:rPr>
        <w:t>标准状态：&lt;StateA→StateB→...，覆盖创建/运行/异常/结束&gt;</w:t>
      </w:r>
    </w:p>
    <w:p>
      <w:pPr>
        <w:pStyle w:val="Heading3"/>
      </w:pPr>
      <w:r>
        <w:rPr>
          <w:rFonts w:ascii="Microsoft YaHei" w:hAnsi="Microsoft YaHei" w:eastAsia="Microsoft YaHei"/>
        </w:rPr>
        <w:t>A. 功能开启、前置、操作与后置</w:t>
      </w:r>
    </w:p>
    <w:tbl>
      <w:tblPr>
        <w:tblStyle w:val="TableGrid"/>
        <w:tblW w:type="auto" w:w="0"/>
        <w:tblLayout w:type="fixed"/>
        <w:tblLook w:firstColumn="1" w:firstRow="1" w:lastColumn="0" w:lastRow="0" w:noHBand="0" w:noVBand="1" w:val="04A0"/>
      </w:tblPr>
      <w:tblGrid>
        <w:gridCol w:w="3120"/>
        <w:gridCol w:w="3120"/>
        <w:gridCol w:w="3120"/>
      </w:tblGrid>
      <w:tr>
        <w:tc>
          <w:tcPr>
            <w:tcW w:type="dxa" w:w="1123"/>
          </w:tcPr>
          <w:p>
            <w:r/>
            <w:r>
              <w:rPr>
                <w:rFonts w:ascii="Microsoft YaHei" w:hAnsi="Microsoft YaHei" w:eastAsia="Microsoft YaHei"/>
                <w:b/>
                <w:sz w:val="18"/>
              </w:rPr>
              <w:t>阶段</w:t>
            </w:r>
          </w:p>
        </w:tc>
        <w:tc>
          <w:tcPr>
            <w:tcW w:type="dxa" w:w="5145"/>
          </w:tcPr>
          <w:p>
            <w:r/>
            <w:r>
              <w:rPr>
                <w:rFonts w:ascii="Microsoft YaHei" w:hAnsi="Microsoft YaHei" w:eastAsia="Microsoft YaHei"/>
                <w:b/>
                <w:sz w:val="18"/>
              </w:rPr>
              <w:t>策划规格</w:t>
            </w:r>
          </w:p>
        </w:tc>
        <w:tc>
          <w:tcPr>
            <w:tcW w:type="dxa" w:w="3087"/>
          </w:tcPr>
          <w:p>
            <w:r/>
            <w:r>
              <w:rPr>
                <w:rFonts w:ascii="Microsoft YaHei" w:hAnsi="Microsoft YaHei" w:eastAsia="Microsoft YaHei"/>
                <w:b/>
                <w:sz w:val="18"/>
              </w:rPr>
              <w:t>客户端/服务器边界</w:t>
            </w:r>
          </w:p>
        </w:tc>
      </w:tr>
      <w:tr>
        <w:tc>
          <w:tcPr>
            <w:tcW w:type="dxa" w:w="1123"/>
          </w:tcPr>
          <w:p>
            <w:r/>
            <w:r>
              <w:rPr>
                <w:rFonts w:ascii="Microsoft YaHei" w:hAnsi="Microsoft YaHei" w:eastAsia="Microsoft YaHei"/>
                <w:sz w:val="18"/>
              </w:rPr>
              <w:t>开启条件</w:t>
            </w:r>
          </w:p>
        </w:tc>
        <w:tc>
          <w:tcPr>
            <w:tcW w:type="dxa" w:w="5145"/>
          </w:tcPr>
          <w:p>
            <w:r/>
            <w:r>
              <w:rPr>
                <w:rFonts w:ascii="Microsoft YaHei" w:hAnsi="Microsoft YaHei" w:eastAsia="Microsoft YaHei"/>
                <w:sz w:val="18"/>
              </w:rPr>
              <w:t>&lt;FeatureSwitch开关；平台/地区/账号资格；入口所在主系统已加载&gt;</w:t>
            </w:r>
          </w:p>
        </w:tc>
        <w:tc>
          <w:tcPr>
            <w:tcW w:type="dxa" w:w="3087"/>
          </w:tcPr>
          <w:p>
            <w:r/>
            <w:r>
              <w:rPr>
                <w:rFonts w:ascii="Microsoft YaHei" w:hAnsi="Microsoft YaHei" w:eastAsia="Microsoft YaHei"/>
                <w:sz w:val="18"/>
              </w:rPr>
              <w:t>客户端只展示可见入口；服务器/本地权威端最终判定</w:t>
            </w:r>
          </w:p>
        </w:tc>
      </w:tr>
      <w:tr>
        <w:tc>
          <w:tcPr>
            <w:tcW w:type="dxa" w:w="1123"/>
          </w:tcPr>
          <w:p>
            <w:r/>
            <w:r>
              <w:rPr>
                <w:rFonts w:ascii="Microsoft YaHei" w:hAnsi="Microsoft YaHei" w:eastAsia="Microsoft YaHei"/>
                <w:sz w:val="18"/>
              </w:rPr>
              <w:t>功能前置</w:t>
            </w:r>
          </w:p>
        </w:tc>
        <w:tc>
          <w:tcPr>
            <w:tcW w:type="dxa" w:w="5145"/>
          </w:tcPr>
          <w:p>
            <w:r/>
            <w:r>
              <w:rPr>
                <w:rFonts w:ascii="Microsoft YaHei" w:hAnsi="Microsoft YaHei" w:eastAsia="Microsoft YaHei"/>
                <w:sz w:val="18"/>
              </w:rPr>
              <w:t>&lt;配置版本匹配；依赖系统/资产Manifest/本地化key可用；当前状态&gt;</w:t>
            </w:r>
          </w:p>
        </w:tc>
        <w:tc>
          <w:tcPr>
            <w:tcW w:type="dxa" w:w="3087"/>
          </w:tcPr>
          <w:p>
            <w:r/>
            <w:r>
              <w:rPr>
                <w:rFonts w:ascii="Microsoft YaHei" w:hAnsi="Microsoft YaHei" w:eastAsia="Microsoft YaHei"/>
                <w:sz w:val="18"/>
              </w:rPr>
              <w:t>缺配置、依赖或版本不一致时返回稳定错误码并降级</w:t>
            </w:r>
          </w:p>
        </w:tc>
      </w:tr>
      <w:tr>
        <w:tc>
          <w:tcPr>
            <w:tcW w:type="dxa" w:w="1123"/>
          </w:tcPr>
          <w:p>
            <w:r/>
            <w:r>
              <w:rPr>
                <w:rFonts w:ascii="Microsoft YaHei" w:hAnsi="Microsoft YaHei" w:eastAsia="Microsoft YaHei"/>
                <w:sz w:val="18"/>
              </w:rPr>
              <w:t>核心操作</w:t>
            </w:r>
          </w:p>
        </w:tc>
        <w:tc>
          <w:tcPr>
            <w:tcW w:type="dxa" w:w="5145"/>
          </w:tcPr>
          <w:p>
            <w:r/>
            <w:r>
              <w:rPr>
                <w:rFonts w:ascii="Microsoft YaHei" w:hAnsi="Microsoft YaHei" w:eastAsia="Microsoft YaHei"/>
                <w:sz w:val="18"/>
              </w:rPr>
              <w:t>&lt;玩家入口；客户端提交意图；共享规则按状态机推进；权威端执行幂等校验、事务/RNG并生成结果&gt;</w:t>
            </w:r>
          </w:p>
        </w:tc>
        <w:tc>
          <w:tcPr>
            <w:tcW w:type="dxa" w:w="3087"/>
          </w:tcPr>
          <w:p>
            <w:r/>
            <w:r>
              <w:rPr>
                <w:rFonts w:ascii="Microsoft YaHei" w:hAnsi="Microsoft YaHei" w:eastAsia="Microsoft YaHei"/>
                <w:sz w:val="18"/>
              </w:rPr>
              <w:t>任何奖励、胜负、概率、库存和资格均不得由客户端裁决</w:t>
            </w:r>
          </w:p>
        </w:tc>
      </w:tr>
      <w:tr>
        <w:tc>
          <w:tcPr>
            <w:tcW w:type="dxa" w:w="1123"/>
          </w:tcPr>
          <w:p>
            <w:r/>
            <w:r>
              <w:rPr>
                <w:rFonts w:ascii="Microsoft YaHei" w:hAnsi="Microsoft YaHei" w:eastAsia="Microsoft YaHei"/>
                <w:sz w:val="18"/>
              </w:rPr>
              <w:t>后置条件</w:t>
            </w:r>
          </w:p>
        </w:tc>
        <w:tc>
          <w:tcPr>
            <w:tcW w:type="dxa" w:w="5145"/>
          </w:tcPr>
          <w:p>
            <w:r/>
            <w:r>
              <w:rPr>
                <w:rFonts w:ascii="Microsoft YaHei" w:hAnsi="Microsoft YaHei" w:eastAsia="Microsoft YaHei"/>
                <w:sz w:val="18"/>
              </w:rPr>
              <w:t>&lt;权威状态写入领域表/账本；广播领域事件；刷新UI/红点/任务；上报完成事件&gt;</w:t>
            </w:r>
          </w:p>
        </w:tc>
        <w:tc>
          <w:tcPr>
            <w:tcW w:type="dxa" w:w="3087"/>
          </w:tcPr>
          <w:p>
            <w:r/>
            <w:r>
              <w:rPr>
                <w:rFonts w:ascii="Microsoft YaHei" w:hAnsi="Microsoft YaHei" w:eastAsia="Microsoft YaHei"/>
                <w:sz w:val="18"/>
              </w:rPr>
              <w:t>成功、失败、取消、超时和重试都必须形成可审计结果</w:t>
            </w:r>
          </w:p>
        </w:tc>
      </w:tr>
      <w:tr>
        <w:tc>
          <w:tcPr>
            <w:tcW w:type="dxa" w:w="1123"/>
          </w:tcPr>
          <w:p>
            <w:r/>
            <w:r>
              <w:rPr>
                <w:rFonts w:ascii="Microsoft YaHei" w:hAnsi="Microsoft YaHei" w:eastAsia="Microsoft YaHei"/>
                <w:sz w:val="18"/>
              </w:rPr>
              <w:t>异常/恢复</w:t>
            </w:r>
          </w:p>
        </w:tc>
        <w:tc>
          <w:tcPr>
            <w:tcW w:type="dxa" w:w="5145"/>
          </w:tcPr>
          <w:p>
            <w:r/>
            <w:r>
              <w:rPr>
                <w:rFonts w:ascii="Microsoft YaHei" w:hAnsi="Microsoft YaHei" w:eastAsia="Microsoft YaHei"/>
                <w:sz w:val="18"/>
              </w:rPr>
              <w:t>&lt;重复请求返回首次结果；断线按request_id恢复；配置撤回用快照完成事务；资源缺失走fallback&gt;</w:t>
            </w:r>
          </w:p>
        </w:tc>
        <w:tc>
          <w:tcPr>
            <w:tcW w:type="dxa" w:w="3087"/>
          </w:tcPr>
          <w:p>
            <w:r/>
            <w:r>
              <w:rPr>
                <w:rFonts w:ascii="Microsoft YaHei" w:hAnsi="Microsoft YaHei" w:eastAsia="Microsoft YaHei"/>
                <w:sz w:val="18"/>
              </w:rPr>
              <w:t>保证状态不重复、资产不丢失、表现可降级</w:t>
            </w:r>
          </w:p>
        </w:tc>
      </w:tr>
    </w:tbl>
    <w:p>
      <w:pPr>
        <w:pStyle w:val="Heading3"/>
      </w:pPr>
      <w:r>
        <w:rPr>
          <w:rFonts w:ascii="Microsoft YaHei" w:hAnsi="Microsoft YaHei" w:eastAsia="Microsoft YaHei"/>
        </w:rPr>
        <w:t>B. UI界面、按钮、布局与交互状态</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497"/>
          </w:tcPr>
          <w:p>
            <w:r/>
            <w:r>
              <w:rPr>
                <w:rFonts w:ascii="Microsoft YaHei" w:hAnsi="Microsoft YaHei" w:eastAsia="Microsoft YaHei"/>
                <w:b/>
                <w:sz w:val="18"/>
              </w:rPr>
              <w:t>界面/元素</w:t>
            </w:r>
          </w:p>
        </w:tc>
        <w:tc>
          <w:tcPr>
            <w:tcW w:type="dxa" w:w="1123"/>
          </w:tcPr>
          <w:p>
            <w:r/>
            <w:r>
              <w:rPr>
                <w:rFonts w:ascii="Microsoft YaHei" w:hAnsi="Microsoft YaHei" w:eastAsia="Microsoft YaHei"/>
                <w:b/>
                <w:sz w:val="18"/>
              </w:rPr>
              <w:t>归属</w:t>
            </w:r>
          </w:p>
        </w:tc>
        <w:tc>
          <w:tcPr>
            <w:tcW w:type="dxa" w:w="2806"/>
          </w:tcPr>
          <w:p>
            <w:r/>
            <w:r>
              <w:rPr>
                <w:rFonts w:ascii="Microsoft YaHei" w:hAnsi="Microsoft YaHei" w:eastAsia="Microsoft YaHei"/>
                <w:b/>
                <w:sz w:val="18"/>
              </w:rPr>
              <w:t>布局与元素</w:t>
            </w:r>
          </w:p>
        </w:tc>
        <w:tc>
          <w:tcPr>
            <w:tcW w:type="dxa" w:w="2245"/>
          </w:tcPr>
          <w:p>
            <w:r/>
            <w:r>
              <w:rPr>
                <w:rFonts w:ascii="Microsoft YaHei" w:hAnsi="Microsoft YaHei" w:eastAsia="Microsoft YaHei"/>
                <w:b/>
                <w:sz w:val="18"/>
              </w:rPr>
              <w:t>操作规则</w:t>
            </w:r>
          </w:p>
        </w:tc>
        <w:tc>
          <w:tcPr>
            <w:tcW w:type="dxa" w:w="1684"/>
          </w:tcPr>
          <w:p>
            <w:r/>
            <w:r>
              <w:rPr>
                <w:rFonts w:ascii="Microsoft YaHei" w:hAnsi="Microsoft YaHei" w:eastAsia="Microsoft YaHei"/>
                <w:b/>
                <w:sz w:val="18"/>
              </w:rPr>
              <w:t>必备状态</w:t>
            </w:r>
          </w:p>
        </w:tc>
      </w:tr>
      <w:tr>
        <w:tc>
          <w:tcPr>
            <w:tcW w:type="dxa" w:w="1497"/>
          </w:tcPr>
          <w:p>
            <w:r/>
            <w:r>
              <w:rPr>
                <w:rFonts w:ascii="Microsoft YaHei" w:hAnsi="Microsoft YaHei" w:eastAsia="Microsoft YaHei"/>
                <w:sz w:val="18"/>
              </w:rPr>
              <w:t>&lt;界面/元素&gt;</w:t>
            </w:r>
          </w:p>
        </w:tc>
        <w:tc>
          <w:tcPr>
            <w:tcW w:type="dxa" w:w="1123"/>
          </w:tcPr>
          <w:p>
            <w:r/>
            <w:r>
              <w:rPr>
                <w:rFonts w:ascii="Microsoft YaHei" w:hAnsi="Microsoft YaHei" w:eastAsia="Microsoft YaHei"/>
                <w:sz w:val="18"/>
              </w:rPr>
              <w:t>客户端</w:t>
            </w:r>
          </w:p>
        </w:tc>
        <w:tc>
          <w:tcPr>
            <w:tcW w:type="dxa" w:w="2806"/>
          </w:tcPr>
          <w:p>
            <w:r/>
            <w:r>
              <w:rPr>
                <w:rFonts w:ascii="Microsoft YaHei" w:hAnsi="Microsoft YaHei" w:eastAsia="Microsoft YaHei"/>
                <w:sz w:val="18"/>
              </w:rPr>
              <w:t>&lt;布局位置/安全区/层级&gt;</w:t>
            </w:r>
          </w:p>
        </w:tc>
        <w:tc>
          <w:tcPr>
            <w:tcW w:type="dxa" w:w="2245"/>
          </w:tcPr>
          <w:p>
            <w:r/>
            <w:r>
              <w:rPr>
                <w:rFonts w:ascii="Microsoft YaHei" w:hAnsi="Microsoft YaHei" w:eastAsia="Microsoft YaHei"/>
                <w:sz w:val="18"/>
              </w:rPr>
              <w:t>&lt;预加载与释放；表现失败不改变权威状态&gt;</w:t>
            </w:r>
          </w:p>
        </w:tc>
        <w:tc>
          <w:tcPr>
            <w:tcW w:type="dxa" w:w="1684"/>
          </w:tcPr>
          <w:p>
            <w:r/>
            <w:r>
              <w:rPr>
                <w:rFonts w:ascii="Microsoft YaHei" w:hAnsi="Microsoft YaHei" w:eastAsia="Microsoft YaHei"/>
                <w:sz w:val="18"/>
              </w:rPr>
              <w:t>Loading/Empty/Normal/Disabled/Error/Offline</w:t>
            </w:r>
          </w:p>
        </w:tc>
      </w:tr>
      <w:tr>
        <w:tc>
          <w:tcPr>
            <w:tcW w:type="dxa" w:w="1497"/>
          </w:tcPr>
          <w:p>
            <w:r/>
            <w:r>
              <w:rPr>
                <w:rFonts w:ascii="Microsoft YaHei" w:hAnsi="Microsoft YaHei" w:eastAsia="Microsoft YaHei"/>
                <w:sz w:val="18"/>
              </w:rPr>
              <w:t>导航与按钮规则</w:t>
            </w:r>
          </w:p>
        </w:tc>
        <w:tc>
          <w:tcPr>
            <w:tcW w:type="dxa" w:w="1123"/>
          </w:tcPr>
          <w:p>
            <w:r/>
            <w:r>
              <w:rPr>
                <w:rFonts w:ascii="Microsoft YaHei" w:hAnsi="Microsoft YaHei" w:eastAsia="Microsoft YaHei"/>
                <w:sz w:val="18"/>
              </w:rPr>
              <w:t>客户端+策划</w:t>
            </w:r>
          </w:p>
        </w:tc>
        <w:tc>
          <w:tcPr>
            <w:tcW w:type="dxa" w:w="2806"/>
          </w:tcPr>
          <w:p>
            <w:r/>
            <w:r>
              <w:rPr>
                <w:rFonts w:ascii="Microsoft YaHei" w:hAnsi="Microsoft YaHei" w:eastAsia="Microsoft YaHei"/>
                <w:sz w:val="18"/>
              </w:rPr>
              <w:t>&lt;主按钮位置/热区≥44pt/危险操作二次确认/返回键页面栈&gt;</w:t>
            </w:r>
          </w:p>
        </w:tc>
        <w:tc>
          <w:tcPr>
            <w:tcW w:type="dxa" w:w="2245"/>
          </w:tcPr>
          <w:p>
            <w:r/>
            <w:r>
              <w:rPr>
                <w:rFonts w:ascii="Microsoft YaHei" w:hAnsi="Microsoft YaHei" w:eastAsia="Microsoft YaHei"/>
                <w:sz w:val="18"/>
              </w:rPr>
              <w:t>&lt;按钮文案用动词；提交态显示进度并防连点&gt;</w:t>
            </w:r>
          </w:p>
        </w:tc>
        <w:tc>
          <w:tcPr>
            <w:tcW w:type="dxa" w:w="1684"/>
          </w:tcPr>
          <w:p>
            <w:r/>
            <w:r>
              <w:rPr>
                <w:rFonts w:ascii="Microsoft YaHei" w:hAnsi="Microsoft YaHei" w:eastAsia="Microsoft YaHei"/>
                <w:sz w:val="18"/>
              </w:rPr>
              <w:t>首次/回流/未解锁/红点/权限拒绝</w:t>
            </w:r>
          </w:p>
        </w:tc>
      </w:tr>
    </w:tbl>
    <w:p>
      <w:pPr>
        <w:pStyle w:val="Heading3"/>
      </w:pPr>
      <w:r>
        <w:rPr>
          <w:rFonts w:ascii="Microsoft YaHei" w:hAnsi="Microsoft YaHei" w:eastAsia="Microsoft YaHei"/>
        </w:rPr>
        <w:t>C. 脚本、Prefab挂载与权威归属</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97"/>
          </w:tcPr>
          <w:p>
            <w:r/>
            <w:r>
              <w:rPr>
                <w:rFonts w:ascii="Microsoft YaHei" w:hAnsi="Microsoft YaHei" w:eastAsia="Microsoft YaHei"/>
                <w:b/>
                <w:sz w:val="18"/>
              </w:rPr>
              <w:t>端/对象</w:t>
            </w:r>
          </w:p>
        </w:tc>
        <w:tc>
          <w:tcPr>
            <w:tcW w:type="dxa" w:w="2432"/>
          </w:tcPr>
          <w:p>
            <w:r/>
            <w:r>
              <w:rPr>
                <w:rFonts w:ascii="Microsoft YaHei" w:hAnsi="Microsoft YaHei" w:eastAsia="Microsoft YaHei"/>
                <w:b/>
                <w:sz w:val="18"/>
              </w:rPr>
              <w:t>脚本或模块</w:t>
            </w:r>
          </w:p>
        </w:tc>
        <w:tc>
          <w:tcPr>
            <w:tcW w:type="dxa" w:w="2245"/>
          </w:tcPr>
          <w:p>
            <w:r/>
            <w:r>
              <w:rPr>
                <w:rFonts w:ascii="Microsoft YaHei" w:hAnsi="Microsoft YaHei" w:eastAsia="Microsoft YaHei"/>
                <w:b/>
                <w:sz w:val="18"/>
              </w:rPr>
              <w:t>挂载位置</w:t>
            </w:r>
          </w:p>
        </w:tc>
        <w:tc>
          <w:tcPr>
            <w:tcW w:type="dxa" w:w="3180"/>
          </w:tcPr>
          <w:p>
            <w:r/>
            <w:r>
              <w:rPr>
                <w:rFonts w:ascii="Microsoft YaHei" w:hAnsi="Microsoft YaHei" w:eastAsia="Microsoft YaHei"/>
                <w:b/>
                <w:sz w:val="18"/>
              </w:rPr>
              <w:t>职责与禁区</w:t>
            </w:r>
          </w:p>
        </w:tc>
      </w:tr>
      <w:tr>
        <w:tc>
          <w:tcPr>
            <w:tcW w:type="dxa" w:w="1497"/>
          </w:tcPr>
          <w:p>
            <w:r/>
            <w:r>
              <w:rPr>
                <w:rFonts w:ascii="Microsoft YaHei" w:hAnsi="Microsoft YaHei" w:eastAsia="Microsoft YaHei"/>
                <w:sz w:val="18"/>
              </w:rPr>
              <w:t>共享规则</w:t>
            </w:r>
          </w:p>
        </w:tc>
        <w:tc>
          <w:tcPr>
            <w:tcW w:type="dxa" w:w="2432"/>
          </w:tcPr>
          <w:p>
            <w:r/>
            <w:r>
              <w:rPr>
                <w:rFonts w:ascii="Microsoft YaHei" w:hAnsi="Microsoft YaHei" w:eastAsia="Microsoft YaHei"/>
                <w:sz w:val="18"/>
              </w:rPr>
              <w:t>&lt;domain&gt;-rules.ts / &lt;domain&gt;-system.ts</w:t>
            </w:r>
          </w:p>
        </w:tc>
        <w:tc>
          <w:tcPr>
            <w:tcW w:type="dxa" w:w="2245"/>
          </w:tcPr>
          <w:p>
            <w:r/>
            <w:r>
              <w:rPr>
                <w:rFonts w:ascii="Microsoft YaHei" w:hAnsi="Microsoft YaHei" w:eastAsia="Microsoft YaHei"/>
                <w:sz w:val="18"/>
              </w:rPr>
              <w:t>SimulationRoot/DomainRegistry；不挂渲染对象</w:t>
            </w:r>
          </w:p>
        </w:tc>
        <w:tc>
          <w:tcPr>
            <w:tcW w:type="dxa" w:w="3180"/>
          </w:tcPr>
          <w:p>
            <w:r/>
            <w:r>
              <w:rPr>
                <w:rFonts w:ascii="Microsoft YaHei" w:hAnsi="Microsoft YaHei" w:eastAsia="Microsoft YaHei"/>
                <w:sz w:val="18"/>
              </w:rPr>
              <w:t>状态机、校验、公式与错误码；禁止UI/HTTP/数据库依赖</w:t>
            </w:r>
          </w:p>
        </w:tc>
      </w:tr>
      <w:tr>
        <w:tc>
          <w:tcPr>
            <w:tcW w:type="dxa" w:w="1497"/>
          </w:tcPr>
          <w:p>
            <w:r/>
            <w:r>
              <w:rPr>
                <w:rFonts w:ascii="Microsoft YaHei" w:hAnsi="Microsoft YaHei" w:eastAsia="Microsoft YaHei"/>
                <w:sz w:val="18"/>
              </w:rPr>
              <w:t>客户端</w:t>
            </w:r>
          </w:p>
        </w:tc>
        <w:tc>
          <w:tcPr>
            <w:tcW w:type="dxa" w:w="2432"/>
          </w:tcPr>
          <w:p>
            <w:r/>
            <w:r>
              <w:rPr>
                <w:rFonts w:ascii="Microsoft YaHei" w:hAnsi="Microsoft YaHei" w:eastAsia="Microsoft YaHei"/>
                <w:sz w:val="18"/>
              </w:rPr>
              <w:t>&lt;feature&gt;-controller.ts / &lt;feature&gt;-view.ts</w:t>
            </w:r>
          </w:p>
        </w:tc>
        <w:tc>
          <w:tcPr>
            <w:tcW w:type="dxa" w:w="2245"/>
          </w:tcPr>
          <w:p>
            <w:r/>
            <w:r>
              <w:rPr>
                <w:rFonts w:ascii="Microsoft YaHei" w:hAnsi="Microsoft YaHei" w:eastAsia="Microsoft YaHei"/>
                <w:sz w:val="18"/>
              </w:rPr>
              <w:t>pf_&lt;module&gt;_&lt;element&gt;</w:t>
            </w:r>
          </w:p>
        </w:tc>
        <w:tc>
          <w:tcPr>
            <w:tcW w:type="dxa" w:w="3180"/>
          </w:tcPr>
          <w:p>
            <w:r/>
            <w:r>
              <w:rPr>
                <w:rFonts w:ascii="Microsoft YaHei" w:hAnsi="Microsoft YaHei" w:eastAsia="Microsoft YaHei"/>
                <w:sz w:val="18"/>
              </w:rPr>
              <w:t>入口、操作采集、预测/预览、UI与资源表现；禁止写权威资产和结果</w:t>
            </w:r>
          </w:p>
        </w:tc>
      </w:tr>
      <w:tr>
        <w:tc>
          <w:tcPr>
            <w:tcW w:type="dxa" w:w="1497"/>
          </w:tcPr>
          <w:p>
            <w:r/>
            <w:r>
              <w:rPr>
                <w:rFonts w:ascii="Microsoft YaHei" w:hAnsi="Microsoft YaHei" w:eastAsia="Microsoft YaHei"/>
                <w:sz w:val="18"/>
              </w:rPr>
              <w:t>服务器/本地权威端</w:t>
            </w:r>
          </w:p>
        </w:tc>
        <w:tc>
          <w:tcPr>
            <w:tcW w:type="dxa" w:w="2432"/>
          </w:tcPr>
          <w:p>
            <w:r/>
            <w:r>
              <w:rPr>
                <w:rFonts w:ascii="Microsoft YaHei" w:hAnsi="Microsoft YaHei" w:eastAsia="Microsoft YaHei"/>
                <w:sz w:val="18"/>
              </w:rPr>
              <w:t>&lt;module&gt;.service.ts / &lt;module&gt;.repository.ts</w:t>
            </w:r>
          </w:p>
        </w:tc>
        <w:tc>
          <w:tcPr>
            <w:tcW w:type="dxa" w:w="2245"/>
          </w:tcPr>
          <w:p>
            <w:r/>
            <w:r>
              <w:rPr>
                <w:rFonts w:ascii="Microsoft YaHei" w:hAnsi="Microsoft YaHei" w:eastAsia="Microsoft YaHei"/>
                <w:sz w:val="18"/>
              </w:rPr>
              <w:t>ServerModule/MatchRoom/Worker；无渲染Prefab</w:t>
            </w:r>
          </w:p>
        </w:tc>
        <w:tc>
          <w:tcPr>
            <w:tcW w:type="dxa" w:w="3180"/>
          </w:tcPr>
          <w:p>
            <w:r/>
            <w:r>
              <w:rPr>
                <w:rFonts w:ascii="Microsoft YaHei" w:hAnsi="Microsoft YaHei" w:eastAsia="Microsoft YaHei"/>
                <w:sz w:val="18"/>
              </w:rPr>
              <w:t>资格、事务、RNG、库存、账本、存档、风控、审计和回滚</w:t>
            </w:r>
          </w:p>
        </w:tc>
      </w:tr>
      <w:tr>
        <w:tc>
          <w:tcPr>
            <w:tcW w:type="dxa" w:w="1497"/>
          </w:tcPr>
          <w:p>
            <w:r/>
            <w:r>
              <w:rPr>
                <w:rFonts w:ascii="Microsoft YaHei" w:hAnsi="Microsoft YaHei" w:eastAsia="Microsoft YaHei"/>
                <w:sz w:val="18"/>
              </w:rPr>
              <w:t>配置/内容</w:t>
            </w:r>
          </w:p>
        </w:tc>
        <w:tc>
          <w:tcPr>
            <w:tcW w:type="dxa" w:w="2432"/>
          </w:tcPr>
          <w:p>
            <w:r/>
            <w:r>
              <w:rPr>
                <w:rFonts w:ascii="Microsoft YaHei" w:hAnsi="Microsoft YaHei" w:eastAsia="Microsoft YaHei"/>
                <w:sz w:val="18"/>
              </w:rPr>
              <w:t>cfg_&lt;domain&gt;</w:t>
            </w:r>
          </w:p>
        </w:tc>
        <w:tc>
          <w:tcPr>
            <w:tcW w:type="dxa" w:w="2245"/>
          </w:tcPr>
          <w:p>
            <w:r/>
            <w:r>
              <w:rPr>
                <w:rFonts w:ascii="Microsoft YaHei" w:hAnsi="Microsoft YaHei" w:eastAsia="Microsoft YaHei"/>
                <w:sz w:val="18"/>
              </w:rPr>
              <w:t>ConfigRegistry/ConfigService/运营后台</w:t>
            </w:r>
          </w:p>
        </w:tc>
        <w:tc>
          <w:tcPr>
            <w:tcW w:type="dxa" w:w="3180"/>
          </w:tcPr>
          <w:p>
            <w:r/>
            <w:r>
              <w:rPr>
                <w:rFonts w:ascii="Microsoft YaHei" w:hAnsi="Microsoft YaHei" w:eastAsia="Microsoft YaHei"/>
                <w:sz w:val="18"/>
              </w:rPr>
              <w:t>Schema校验、版本快照、外键、范围、灰度与回滚</w:t>
            </w:r>
          </w:p>
        </w:tc>
      </w:tr>
    </w:tbl>
    <w:p>
      <w:pPr>
        <w:pStyle w:val="Heading3"/>
      </w:pPr>
      <w:r>
        <w:rPr>
          <w:rFonts w:ascii="Microsoft YaHei" w:hAnsi="Microsoft YaHei" w:eastAsia="Microsoft YaHei"/>
        </w:rPr>
        <w:t>D. 表结构：新增表与原表新增字段/值</w:t>
      </w:r>
    </w:p>
    <w:tbl>
      <w:tblPr>
        <w:tblStyle w:val="TableGrid"/>
        <w:tblW w:type="auto" w:w="0"/>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842"/>
          </w:tcPr>
          <w:p>
            <w:r/>
            <w:r>
              <w:rPr>
                <w:rFonts w:ascii="Microsoft YaHei" w:hAnsi="Microsoft YaHei" w:eastAsia="Microsoft YaHei"/>
                <w:b/>
                <w:sz w:val="18"/>
              </w:rPr>
              <w:t>变更</w:t>
            </w:r>
          </w:p>
        </w:tc>
        <w:tc>
          <w:tcPr>
            <w:tcW w:type="dxa" w:w="1310"/>
          </w:tcPr>
          <w:p>
            <w:r/>
            <w:r>
              <w:rPr>
                <w:rFonts w:ascii="Microsoft YaHei" w:hAnsi="Microsoft YaHei" w:eastAsia="Microsoft YaHei"/>
                <w:b/>
                <w:sz w:val="18"/>
              </w:rPr>
              <w:t>表</w:t>
            </w:r>
          </w:p>
        </w:tc>
        <w:tc>
          <w:tcPr>
            <w:tcW w:type="dxa" w:w="1310"/>
          </w:tcPr>
          <w:p>
            <w:r/>
            <w:r>
              <w:rPr>
                <w:rFonts w:ascii="Microsoft YaHei" w:hAnsi="Microsoft YaHei" w:eastAsia="Microsoft YaHei"/>
                <w:b/>
                <w:sz w:val="18"/>
              </w:rPr>
              <w:t>字段</w:t>
            </w:r>
          </w:p>
        </w:tc>
        <w:tc>
          <w:tcPr>
            <w:tcW w:type="dxa" w:w="1123"/>
          </w:tcPr>
          <w:p>
            <w:r/>
            <w:r>
              <w:rPr>
                <w:rFonts w:ascii="Microsoft YaHei" w:hAnsi="Microsoft YaHei" w:eastAsia="Microsoft YaHei"/>
                <w:b/>
                <w:sz w:val="18"/>
              </w:rPr>
              <w:t>类型</w:t>
            </w:r>
          </w:p>
        </w:tc>
        <w:tc>
          <w:tcPr>
            <w:tcW w:type="dxa" w:w="1590"/>
          </w:tcPr>
          <w:p>
            <w:r/>
            <w:r>
              <w:rPr>
                <w:rFonts w:ascii="Microsoft YaHei" w:hAnsi="Microsoft YaHei" w:eastAsia="Microsoft YaHei"/>
                <w:b/>
                <w:sz w:val="18"/>
              </w:rPr>
              <w:t>范围</w:t>
            </w:r>
          </w:p>
        </w:tc>
        <w:tc>
          <w:tcPr>
            <w:tcW w:type="dxa" w:w="748"/>
          </w:tcPr>
          <w:p>
            <w:r/>
            <w:r>
              <w:rPr>
                <w:rFonts w:ascii="Microsoft YaHei" w:hAnsi="Microsoft YaHei" w:eastAsia="Microsoft YaHei"/>
                <w:b/>
                <w:sz w:val="18"/>
              </w:rPr>
              <w:t>默认</w:t>
            </w:r>
          </w:p>
        </w:tc>
        <w:tc>
          <w:tcPr>
            <w:tcW w:type="dxa" w:w="1310"/>
          </w:tcPr>
          <w:p>
            <w:r/>
            <w:r>
              <w:rPr>
                <w:rFonts w:ascii="Microsoft YaHei" w:hAnsi="Microsoft YaHei" w:eastAsia="Microsoft YaHei"/>
                <w:b/>
                <w:sz w:val="18"/>
              </w:rPr>
              <w:t>校验/外键</w:t>
            </w:r>
          </w:p>
        </w:tc>
        <w:tc>
          <w:tcPr>
            <w:tcW w:type="dxa" w:w="1123"/>
          </w:tcPr>
          <w:p>
            <w:r/>
            <w:r>
              <w:rPr>
                <w:rFonts w:ascii="Microsoft YaHei" w:hAnsi="Microsoft YaHei" w:eastAsia="Microsoft YaHei"/>
                <w:b/>
                <w:sz w:val="18"/>
              </w:rPr>
              <w:t>归属</w:t>
            </w:r>
          </w:p>
        </w:tc>
      </w:tr>
      <w:tr>
        <w:tc>
          <w:tcPr>
            <w:tcW w:type="dxa" w:w="842"/>
          </w:tcPr>
          <w:p>
            <w:r/>
            <w:r>
              <w:rPr>
                <w:rFonts w:ascii="Microsoft YaHei" w:hAnsi="Microsoft YaHei" w:eastAsia="Microsoft YaHei"/>
                <w:sz w:val="18"/>
              </w:rPr>
              <w:t>新增表</w:t>
            </w:r>
          </w:p>
        </w:tc>
        <w:tc>
          <w:tcPr>
            <w:tcW w:type="dxa" w:w="1310"/>
          </w:tcPr>
          <w:p>
            <w:r/>
            <w:r>
              <w:rPr>
                <w:rFonts w:ascii="Microsoft YaHei" w:hAnsi="Microsoft YaHei" w:eastAsia="Microsoft YaHei"/>
                <w:sz w:val="18"/>
              </w:rPr>
              <w:t>cfg_&lt;domain&gt;</w:t>
            </w:r>
          </w:p>
        </w:tc>
        <w:tc>
          <w:tcPr>
            <w:tcW w:type="dxa" w:w="1310"/>
          </w:tcPr>
          <w:p>
            <w:r/>
            <w:r>
              <w:rPr>
                <w:rFonts w:ascii="Microsoft YaHei" w:hAnsi="Microsoft YaHei" w:eastAsia="Microsoft YaHei"/>
                <w:sz w:val="18"/>
              </w:rPr>
              <w:t>&lt;field&gt;</w:t>
            </w:r>
          </w:p>
        </w:tc>
        <w:tc>
          <w:tcPr>
            <w:tcW w:type="dxa" w:w="1123"/>
          </w:tcPr>
          <w:p>
            <w:r/>
            <w:r>
              <w:rPr>
                <w:rFonts w:ascii="Microsoft YaHei" w:hAnsi="Microsoft YaHei" w:eastAsia="Microsoft YaHei"/>
                <w:sz w:val="18"/>
              </w:rPr>
              <w:t>&lt;uint32/bool/string/...&gt;</w:t>
            </w:r>
          </w:p>
        </w:tc>
        <w:tc>
          <w:tcPr>
            <w:tcW w:type="dxa" w:w="1590"/>
          </w:tcPr>
          <w:p>
            <w:r/>
            <w:r>
              <w:rPr>
                <w:rFonts w:ascii="Microsoft YaHei" w:hAnsi="Microsoft YaHei" w:eastAsia="Microsoft YaHei"/>
                <w:sz w:val="18"/>
              </w:rPr>
              <w:t>&lt;范围，如&gt;0，主键&gt;</w:t>
            </w:r>
          </w:p>
        </w:tc>
        <w:tc>
          <w:tcPr>
            <w:tcW w:type="dxa" w:w="748"/>
          </w:tcPr>
          <w:p>
            <w:r/>
            <w:r>
              <w:rPr>
                <w:rFonts w:ascii="Microsoft YaHei" w:hAnsi="Microsoft YaHei" w:eastAsia="Microsoft YaHei"/>
                <w:sz w:val="18"/>
              </w:rPr>
              <w:t>&lt;默认&gt;</w:t>
            </w:r>
          </w:p>
        </w:tc>
        <w:tc>
          <w:tcPr>
            <w:tcW w:type="dxa" w:w="1310"/>
          </w:tcPr>
          <w:p>
            <w:r/>
            <w:r>
              <w:rPr>
                <w:rFonts w:ascii="Microsoft YaHei" w:hAnsi="Microsoft YaHei" w:eastAsia="Microsoft YaHei"/>
                <w:sz w:val="18"/>
              </w:rPr>
              <w:t>&lt;唯一/外键/枚举&gt;</w:t>
            </w:r>
          </w:p>
        </w:tc>
        <w:tc>
          <w:tcPr>
            <w:tcW w:type="dxa" w:w="1123"/>
          </w:tcPr>
          <w:p>
            <w:r/>
            <w:r>
              <w:rPr>
                <w:rFonts w:ascii="Microsoft YaHei" w:hAnsi="Microsoft YaHei" w:eastAsia="Microsoft YaHei"/>
                <w:sz w:val="18"/>
              </w:rPr>
              <w:t>&lt;服务器权威/客户端表现/共享校验&gt;</w:t>
            </w:r>
          </w:p>
        </w:tc>
      </w:tr>
      <w:tr>
        <w:tc>
          <w:tcPr>
            <w:tcW w:type="dxa" w:w="842"/>
          </w:tcPr>
          <w:p>
            <w:r/>
            <w:r>
              <w:rPr>
                <w:rFonts w:ascii="Microsoft YaHei" w:hAnsi="Microsoft YaHei" w:eastAsia="Microsoft YaHei"/>
                <w:sz w:val="18"/>
              </w:rPr>
              <w:t>原表加字段</w:t>
            </w:r>
          </w:p>
        </w:tc>
        <w:tc>
          <w:tcPr>
            <w:tcW w:type="dxa" w:w="1310"/>
          </w:tcPr>
          <w:p>
            <w:r/>
            <w:r>
              <w:rPr>
                <w:rFonts w:ascii="Microsoft YaHei" w:hAnsi="Microsoft YaHei" w:eastAsia="Microsoft YaHei"/>
                <w:sz w:val="18"/>
              </w:rPr>
              <w:t>&lt;原表名&gt;</w:t>
            </w:r>
          </w:p>
        </w:tc>
        <w:tc>
          <w:tcPr>
            <w:tcW w:type="dxa" w:w="1310"/>
          </w:tcPr>
          <w:p>
            <w:r/>
            <w:r>
              <w:rPr>
                <w:rFonts w:ascii="Microsoft YaHei" w:hAnsi="Microsoft YaHei" w:eastAsia="Microsoft YaHei"/>
                <w:sz w:val="18"/>
              </w:rPr>
              <w:t>&lt;field&gt;</w:t>
            </w:r>
          </w:p>
        </w:tc>
        <w:tc>
          <w:tcPr>
            <w:tcW w:type="dxa" w:w="1123"/>
          </w:tcPr>
          <w:p>
            <w:r/>
            <w:r>
              <w:rPr>
                <w:rFonts w:ascii="Microsoft YaHei" w:hAnsi="Microsoft YaHei" w:eastAsia="Microsoft YaHei"/>
                <w:sz w:val="18"/>
              </w:rPr>
              <w:t>&lt;type&gt;</w:t>
            </w:r>
          </w:p>
        </w:tc>
        <w:tc>
          <w:tcPr>
            <w:tcW w:type="dxa" w:w="1590"/>
          </w:tcPr>
          <w:p>
            <w:r/>
            <w:r>
              <w:rPr>
                <w:rFonts w:ascii="Microsoft YaHei" w:hAnsi="Microsoft YaHei" w:eastAsia="Microsoft YaHei"/>
                <w:sz w:val="18"/>
              </w:rPr>
              <w:t>&lt;范围&gt;</w:t>
            </w:r>
          </w:p>
        </w:tc>
        <w:tc>
          <w:tcPr>
            <w:tcW w:type="dxa" w:w="748"/>
          </w:tcPr>
          <w:p>
            <w:r/>
            <w:r>
              <w:rPr>
                <w:rFonts w:ascii="Microsoft YaHei" w:hAnsi="Microsoft YaHei" w:eastAsia="Microsoft YaHei"/>
                <w:sz w:val="18"/>
              </w:rPr>
              <w:t>&lt;默认&gt;</w:t>
            </w:r>
          </w:p>
        </w:tc>
        <w:tc>
          <w:tcPr>
            <w:tcW w:type="dxa" w:w="1310"/>
          </w:tcPr>
          <w:p>
            <w:r/>
            <w:r>
              <w:rPr>
                <w:rFonts w:ascii="Microsoft YaHei" w:hAnsi="Microsoft YaHei" w:eastAsia="Microsoft YaHei"/>
                <w:sz w:val="18"/>
              </w:rPr>
              <w:t>&lt;校验&gt;</w:t>
            </w:r>
          </w:p>
        </w:tc>
        <w:tc>
          <w:tcPr>
            <w:tcW w:type="dxa" w:w="1123"/>
          </w:tcPr>
          <w:p>
            <w:r/>
            <w:r>
              <w:rPr>
                <w:rFonts w:ascii="Microsoft YaHei" w:hAnsi="Microsoft YaHei" w:eastAsia="Microsoft YaHei"/>
                <w:sz w:val="18"/>
              </w:rPr>
              <w:t>&lt;归属&gt;</w:t>
            </w:r>
          </w:p>
        </w:tc>
      </w:tr>
    </w:tbl>
    <w:p>
      <w:pPr>
        <w:pStyle w:val="Heading3"/>
      </w:pPr>
      <w:r>
        <w:rPr>
          <w:rFonts w:ascii="Microsoft YaHei" w:hAnsi="Microsoft YaHei" w:eastAsia="Microsoft YaHei"/>
        </w:rPr>
        <w:t>E. 资源需求：规格、源文件与运行路径</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935"/>
          </w:tcPr>
          <w:p>
            <w:r/>
            <w:r>
              <w:rPr>
                <w:rFonts w:ascii="Microsoft YaHei" w:hAnsi="Microsoft YaHei" w:eastAsia="Microsoft YaHei"/>
                <w:b/>
                <w:sz w:val="18"/>
              </w:rPr>
              <w:t>资源</w:t>
            </w:r>
          </w:p>
        </w:tc>
        <w:tc>
          <w:tcPr>
            <w:tcW w:type="dxa" w:w="1216"/>
          </w:tcPr>
          <w:p>
            <w:r/>
            <w:r>
              <w:rPr>
                <w:rFonts w:ascii="Microsoft YaHei" w:hAnsi="Microsoft YaHei" w:eastAsia="Microsoft YaHei"/>
                <w:b/>
                <w:sz w:val="18"/>
              </w:rPr>
              <w:t>制作/运行归属</w:t>
            </w:r>
          </w:p>
        </w:tc>
        <w:tc>
          <w:tcPr>
            <w:tcW w:type="dxa" w:w="1123"/>
          </w:tcPr>
          <w:p>
            <w:r/>
            <w:r>
              <w:rPr>
                <w:rFonts w:ascii="Microsoft YaHei" w:hAnsi="Microsoft YaHei" w:eastAsia="Microsoft YaHei"/>
                <w:b/>
                <w:sz w:val="18"/>
              </w:rPr>
              <w:t>asset_id</w:t>
            </w:r>
          </w:p>
        </w:tc>
        <w:tc>
          <w:tcPr>
            <w:tcW w:type="dxa" w:w="2806"/>
          </w:tcPr>
          <w:p>
            <w:r/>
            <w:r>
              <w:rPr>
                <w:rFonts w:ascii="Microsoft YaHei" w:hAnsi="Microsoft YaHei" w:eastAsia="Microsoft YaHei"/>
                <w:b/>
                <w:sz w:val="18"/>
              </w:rPr>
              <w:t>规格</w:t>
            </w:r>
          </w:p>
        </w:tc>
        <w:tc>
          <w:tcPr>
            <w:tcW w:type="dxa" w:w="1310"/>
          </w:tcPr>
          <w:p>
            <w:r/>
            <w:r>
              <w:rPr>
                <w:rFonts w:ascii="Microsoft YaHei" w:hAnsi="Microsoft YaHei" w:eastAsia="Microsoft YaHei"/>
                <w:b/>
                <w:sz w:val="18"/>
              </w:rPr>
              <w:t>源文件路径</w:t>
            </w:r>
          </w:p>
        </w:tc>
        <w:tc>
          <w:tcPr>
            <w:tcW w:type="dxa" w:w="1216"/>
          </w:tcPr>
          <w:p>
            <w:r/>
            <w:r>
              <w:rPr>
                <w:rFonts w:ascii="Microsoft YaHei" w:hAnsi="Microsoft YaHei" w:eastAsia="Microsoft YaHei"/>
                <w:b/>
                <w:sz w:val="18"/>
              </w:rPr>
              <w:t>运行路径</w:t>
            </w:r>
          </w:p>
        </w:tc>
        <w:tc>
          <w:tcPr>
            <w:tcW w:type="dxa" w:w="748"/>
          </w:tcPr>
          <w:p>
            <w:r/>
            <w:r>
              <w:rPr>
                <w:rFonts w:ascii="Microsoft YaHei" w:hAnsi="Microsoft YaHei" w:eastAsia="Microsoft YaHei"/>
                <w:b/>
                <w:sz w:val="18"/>
              </w:rPr>
              <w:t>服务器控制</w:t>
            </w:r>
          </w:p>
        </w:tc>
      </w:tr>
      <w:tr>
        <w:tc>
          <w:tcPr>
            <w:tcW w:type="dxa" w:w="935"/>
          </w:tcPr>
          <w:p>
            <w:r/>
            <w:r>
              <w:rPr>
                <w:rFonts w:ascii="Microsoft YaHei" w:hAnsi="Microsoft YaHei" w:eastAsia="Microsoft YaHei"/>
                <w:sz w:val="18"/>
              </w:rPr>
              <w:t>&lt;资源族&gt;</w:t>
            </w:r>
          </w:p>
        </w:tc>
        <w:tc>
          <w:tcPr>
            <w:tcW w:type="dxa" w:w="1216"/>
          </w:tcPr>
          <w:p>
            <w:r/>
            <w:r>
              <w:rPr>
                <w:rFonts w:ascii="Microsoft YaHei" w:hAnsi="Microsoft YaHei" w:eastAsia="Microsoft YaHei"/>
                <w:sz w:val="18"/>
              </w:rPr>
              <w:t>客户端/美术/音频/TA</w:t>
            </w:r>
          </w:p>
        </w:tc>
        <w:tc>
          <w:tcPr>
            <w:tcW w:type="dxa" w:w="1123"/>
          </w:tcPr>
          <w:p>
            <w:r/>
            <w:r>
              <w:rPr>
                <w:rFonts w:ascii="Microsoft YaHei" w:hAnsi="Microsoft YaHei" w:eastAsia="Microsoft YaHei"/>
                <w:sz w:val="18"/>
              </w:rPr>
              <w:t>asset_&lt;domain&gt;_&lt;id&gt;</w:t>
            </w:r>
          </w:p>
        </w:tc>
        <w:tc>
          <w:tcPr>
            <w:tcW w:type="dxa" w:w="2806"/>
          </w:tcPr>
          <w:p>
            <w:r/>
            <w:r>
              <w:rPr>
                <w:rFonts w:ascii="Microsoft YaHei" w:hAnsi="Microsoft YaHei" w:eastAsia="Microsoft YaHei"/>
                <w:sz w:val="18"/>
              </w:rPr>
              <w:t>&lt;源档格式；runtime格式；尺寸/时长/采样率/粒子数上限；@1x/@2x/@3x与安全区&gt;</w:t>
            </w:r>
          </w:p>
        </w:tc>
        <w:tc>
          <w:tcPr>
            <w:tcW w:type="dxa" w:w="1310"/>
          </w:tcPr>
          <w:p>
            <w:r/>
            <w:r>
              <w:rPr>
                <w:rFonts w:ascii="Microsoft YaHei" w:hAnsi="Microsoft YaHei" w:eastAsia="Microsoft YaHei"/>
                <w:sz w:val="18"/>
              </w:rPr>
              <w:t>AssetsSource/&lt;SYS&gt;/&lt;Type&gt;/&lt;asset_id&gt;/</w:t>
            </w:r>
          </w:p>
        </w:tc>
        <w:tc>
          <w:tcPr>
            <w:tcW w:type="dxa" w:w="1216"/>
          </w:tcPr>
          <w:p>
            <w:r/>
            <w:r>
              <w:rPr>
                <w:rFonts w:ascii="Microsoft YaHei" w:hAnsi="Microsoft YaHei" w:eastAsia="Microsoft YaHei"/>
                <w:sz w:val="18"/>
              </w:rPr>
              <w:t>Assets/Game/&lt;SYS&gt;/&lt;Type&gt;/&lt;asset_id&gt;</w:t>
            </w:r>
          </w:p>
        </w:tc>
        <w:tc>
          <w:tcPr>
            <w:tcW w:type="dxa" w:w="748"/>
          </w:tcPr>
          <w:p>
            <w:r/>
            <w:r>
              <w:rPr>
                <w:rFonts w:ascii="Microsoft YaHei" w:hAnsi="Microsoft YaHei" w:eastAsia="Microsoft YaHei"/>
                <w:sz w:val="18"/>
              </w:rPr>
              <w:t>服务器仅保存asset_id/hash/bundle/version/fallback</w:t>
            </w:r>
          </w:p>
        </w:tc>
      </w:tr>
    </w:tbl>
    <w:p>
      <w:pPr>
        <w:pStyle w:val="Heading3"/>
      </w:pPr>
      <w:r>
        <w:rPr>
          <w:rFonts w:ascii="Microsoft YaHei" w:hAnsi="Microsoft YaHei" w:eastAsia="Microsoft YaHei"/>
        </w:rPr>
        <w:t>F. 本系统埋点事件清单</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2058"/>
          </w:tcPr>
          <w:p>
            <w:r/>
            <w:r>
              <w:rPr>
                <w:rFonts w:ascii="Microsoft YaHei" w:hAnsi="Microsoft YaHei" w:eastAsia="Microsoft YaHei"/>
                <w:b/>
                <w:sz w:val="18"/>
              </w:rPr>
              <w:t>事件</w:t>
            </w:r>
          </w:p>
        </w:tc>
        <w:tc>
          <w:tcPr>
            <w:tcW w:type="dxa" w:w="2245"/>
          </w:tcPr>
          <w:p>
            <w:r/>
            <w:r>
              <w:rPr>
                <w:rFonts w:ascii="Microsoft YaHei" w:hAnsi="Microsoft YaHei" w:eastAsia="Microsoft YaHei"/>
                <w:b/>
                <w:sz w:val="18"/>
              </w:rPr>
              <w:t>触发时机</w:t>
            </w:r>
          </w:p>
        </w:tc>
        <w:tc>
          <w:tcPr>
            <w:tcW w:type="dxa" w:w="2806"/>
          </w:tcPr>
          <w:p>
            <w:r/>
            <w:r>
              <w:rPr>
                <w:rFonts w:ascii="Microsoft YaHei" w:hAnsi="Microsoft YaHei" w:eastAsia="Microsoft YaHei"/>
                <w:b/>
                <w:sz w:val="18"/>
              </w:rPr>
              <w:t>字段</w:t>
            </w:r>
          </w:p>
        </w:tc>
        <w:tc>
          <w:tcPr>
            <w:tcW w:type="dxa" w:w="1310"/>
          </w:tcPr>
          <w:p>
            <w:r/>
            <w:r>
              <w:rPr>
                <w:rFonts w:ascii="Microsoft YaHei" w:hAnsi="Microsoft YaHei" w:eastAsia="Microsoft YaHei"/>
                <w:b/>
                <w:sz w:val="18"/>
              </w:rPr>
              <w:t>用途</w:t>
            </w:r>
          </w:p>
        </w:tc>
        <w:tc>
          <w:tcPr>
            <w:tcW w:type="dxa" w:w="935"/>
          </w:tcPr>
          <w:p>
            <w:r/>
            <w:r>
              <w:rPr>
                <w:rFonts w:ascii="Microsoft YaHei" w:hAnsi="Microsoft YaHei" w:eastAsia="Microsoft YaHei"/>
                <w:b/>
                <w:sz w:val="18"/>
              </w:rPr>
              <w:t>来源</w:t>
            </w:r>
          </w:p>
        </w:tc>
      </w:tr>
      <w:tr>
        <w:tc>
          <w:tcPr>
            <w:tcW w:type="dxa" w:w="2058"/>
          </w:tcPr>
          <w:p>
            <w:r/>
            <w:r>
              <w:rPr>
                <w:rFonts w:ascii="Microsoft YaHei" w:hAnsi="Microsoft YaHei" w:eastAsia="Microsoft YaHei"/>
                <w:sz w:val="18"/>
              </w:rPr>
              <w:t>&lt;domain&gt;_opened</w:t>
            </w:r>
          </w:p>
        </w:tc>
        <w:tc>
          <w:tcPr>
            <w:tcW w:type="dxa" w:w="2245"/>
          </w:tcPr>
          <w:p>
            <w:r/>
            <w:r>
              <w:rPr>
                <w:rFonts w:ascii="Microsoft YaHei" w:hAnsi="Microsoft YaHei" w:eastAsia="Microsoft YaHei"/>
                <w:sz w:val="18"/>
              </w:rPr>
              <w:t>&lt;入口可见后首次进入成功&gt;</w:t>
            </w:r>
          </w:p>
        </w:tc>
        <w:tc>
          <w:tcPr>
            <w:tcW w:type="dxa" w:w="2806"/>
          </w:tcPr>
          <w:p>
            <w:r/>
            <w:r>
              <w:rPr>
                <w:rFonts w:ascii="Microsoft YaHei" w:hAnsi="Microsoft YaHei" w:eastAsia="Microsoft YaHei"/>
                <w:sz w:val="18"/>
              </w:rPr>
              <w:t>uid,session_id,entry,config_version</w:t>
            </w:r>
          </w:p>
        </w:tc>
        <w:tc>
          <w:tcPr>
            <w:tcW w:type="dxa" w:w="1310"/>
          </w:tcPr>
          <w:p>
            <w:r/>
            <w:r>
              <w:rPr>
                <w:rFonts w:ascii="Microsoft YaHei" w:hAnsi="Microsoft YaHei" w:eastAsia="Microsoft YaHei"/>
                <w:sz w:val="18"/>
              </w:rPr>
              <w:t>漏斗起点/入口转化</w:t>
            </w:r>
          </w:p>
        </w:tc>
        <w:tc>
          <w:tcPr>
            <w:tcW w:type="dxa" w:w="935"/>
          </w:tcPr>
          <w:p>
            <w:r/>
            <w:r>
              <w:rPr>
                <w:rFonts w:ascii="Microsoft YaHei" w:hAnsi="Microsoft YaHei" w:eastAsia="Microsoft YaHei"/>
                <w:sz w:val="18"/>
              </w:rPr>
              <w:t>客户端发起；服务端会话校验</w:t>
            </w:r>
          </w:p>
        </w:tc>
      </w:tr>
      <w:tr>
        <w:tc>
          <w:tcPr>
            <w:tcW w:type="dxa" w:w="2058"/>
          </w:tcPr>
          <w:p>
            <w:r/>
            <w:r>
              <w:rPr>
                <w:rFonts w:ascii="Microsoft YaHei" w:hAnsi="Microsoft YaHei" w:eastAsia="Microsoft YaHei"/>
                <w:sz w:val="18"/>
              </w:rPr>
              <w:t>&lt;domain&gt;_action_submitted</w:t>
            </w:r>
          </w:p>
        </w:tc>
        <w:tc>
          <w:tcPr>
            <w:tcW w:type="dxa" w:w="2245"/>
          </w:tcPr>
          <w:p>
            <w:r/>
            <w:r>
              <w:rPr>
                <w:rFonts w:ascii="Microsoft YaHei" w:hAnsi="Microsoft YaHei" w:eastAsia="Microsoft YaHei"/>
                <w:sz w:val="18"/>
              </w:rPr>
              <w:t>&lt;主操作通过本地校验并发送&gt;</w:t>
            </w:r>
          </w:p>
        </w:tc>
        <w:tc>
          <w:tcPr>
            <w:tcW w:type="dxa" w:w="2806"/>
          </w:tcPr>
          <w:p>
            <w:r/>
            <w:r>
              <w:rPr>
                <w:rFonts w:ascii="Microsoft YaHei" w:hAnsi="Microsoft YaHei" w:eastAsia="Microsoft YaHei"/>
                <w:sz w:val="18"/>
              </w:rPr>
              <w:t>uid,request_id,action,state_from,state_to,result_code</w:t>
            </w:r>
          </w:p>
        </w:tc>
        <w:tc>
          <w:tcPr>
            <w:tcW w:type="dxa" w:w="1310"/>
          </w:tcPr>
          <w:p>
            <w:r/>
            <w:r>
              <w:rPr>
                <w:rFonts w:ascii="Microsoft YaHei" w:hAnsi="Microsoft YaHei" w:eastAsia="Microsoft YaHei"/>
                <w:sz w:val="18"/>
              </w:rPr>
              <w:t>操作率/失败原因/幂等</w:t>
            </w:r>
          </w:p>
        </w:tc>
        <w:tc>
          <w:tcPr>
            <w:tcW w:type="dxa" w:w="935"/>
          </w:tcPr>
          <w:p>
            <w:r/>
            <w:r>
              <w:rPr>
                <w:rFonts w:ascii="Microsoft YaHei" w:hAnsi="Microsoft YaHei" w:eastAsia="Microsoft YaHei"/>
                <w:sz w:val="18"/>
              </w:rPr>
              <w:t>客户端+服务端对账</w:t>
            </w:r>
          </w:p>
        </w:tc>
      </w:tr>
      <w:tr>
        <w:tc>
          <w:tcPr>
            <w:tcW w:type="dxa" w:w="2058"/>
          </w:tcPr>
          <w:p>
            <w:r/>
            <w:r>
              <w:rPr>
                <w:rFonts w:ascii="Microsoft YaHei" w:hAnsi="Microsoft YaHei" w:eastAsia="Microsoft YaHei"/>
                <w:sz w:val="18"/>
              </w:rPr>
              <w:t>&lt;domain&gt;_result_committed</w:t>
            </w:r>
          </w:p>
        </w:tc>
        <w:tc>
          <w:tcPr>
            <w:tcW w:type="dxa" w:w="2245"/>
          </w:tcPr>
          <w:p>
            <w:r/>
            <w:r>
              <w:rPr>
                <w:rFonts w:ascii="Microsoft YaHei" w:hAnsi="Microsoft YaHei" w:eastAsia="Microsoft YaHei"/>
                <w:sz w:val="18"/>
              </w:rPr>
              <w:t>&lt;权威端事务提交或最终失败&gt;</w:t>
            </w:r>
          </w:p>
        </w:tc>
        <w:tc>
          <w:tcPr>
            <w:tcW w:type="dxa" w:w="2806"/>
          </w:tcPr>
          <w:p>
            <w:r/>
            <w:r>
              <w:rPr>
                <w:rFonts w:ascii="Microsoft YaHei" w:hAnsi="Microsoft YaHei" w:eastAsia="Microsoft YaHei"/>
                <w:sz w:val="18"/>
              </w:rPr>
              <w:t>uid,request_id,result_code,duration_ms,reward_delta,config_version</w:t>
            </w:r>
          </w:p>
        </w:tc>
        <w:tc>
          <w:tcPr>
            <w:tcW w:type="dxa" w:w="1310"/>
          </w:tcPr>
          <w:p>
            <w:r/>
            <w:r>
              <w:rPr>
                <w:rFonts w:ascii="Microsoft YaHei" w:hAnsi="Microsoft YaHei" w:eastAsia="Microsoft YaHei"/>
                <w:sz w:val="18"/>
              </w:rPr>
              <w:t>完成率/耗时/经济影响</w:t>
            </w:r>
          </w:p>
        </w:tc>
        <w:tc>
          <w:tcPr>
            <w:tcW w:type="dxa" w:w="935"/>
          </w:tcPr>
          <w:p>
            <w:r/>
            <w:r>
              <w:rPr>
                <w:rFonts w:ascii="Microsoft YaHei" w:hAnsi="Microsoft YaHei" w:eastAsia="Microsoft YaHei"/>
                <w:sz w:val="18"/>
              </w:rPr>
              <w:t>服务器权威</w:t>
            </w:r>
          </w:p>
        </w:tc>
      </w:tr>
    </w:tbl>
    <w:p>
      <w:pPr>
        <w:pStyle w:val="Heading3"/>
      </w:pPr>
      <w:r>
        <w:rPr>
          <w:rFonts w:ascii="Microsoft YaHei" w:hAnsi="Microsoft YaHei" w:eastAsia="Microsoft YaHei"/>
        </w:rPr>
        <w:t>G. 性能指标与预算</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684"/>
          </w:tcPr>
          <w:p>
            <w:r/>
            <w:r>
              <w:rPr>
                <w:rFonts w:ascii="Microsoft YaHei" w:hAnsi="Microsoft YaHei" w:eastAsia="Microsoft YaHei"/>
                <w:b/>
                <w:sz w:val="18"/>
              </w:rPr>
              <w:t>指标</w:t>
            </w:r>
          </w:p>
        </w:tc>
        <w:tc>
          <w:tcPr>
            <w:tcW w:type="dxa" w:w="1684"/>
          </w:tcPr>
          <w:p>
            <w:r/>
            <w:r>
              <w:rPr>
                <w:rFonts w:ascii="Microsoft YaHei" w:hAnsi="Microsoft YaHei" w:eastAsia="Microsoft YaHei"/>
                <w:b/>
                <w:sz w:val="18"/>
              </w:rPr>
              <w:t>归属</w:t>
            </w:r>
          </w:p>
        </w:tc>
        <w:tc>
          <w:tcPr>
            <w:tcW w:type="dxa" w:w="3368"/>
          </w:tcPr>
          <w:p>
            <w:r/>
            <w:r>
              <w:rPr>
                <w:rFonts w:ascii="Microsoft YaHei" w:hAnsi="Microsoft YaHei" w:eastAsia="Microsoft YaHei"/>
                <w:b/>
                <w:sz w:val="18"/>
              </w:rPr>
              <w:t>目标值</w:t>
            </w:r>
          </w:p>
        </w:tc>
        <w:tc>
          <w:tcPr>
            <w:tcW w:type="dxa" w:w="2619"/>
          </w:tcPr>
          <w:p>
            <w:r/>
            <w:r>
              <w:rPr>
                <w:rFonts w:ascii="Microsoft YaHei" w:hAnsi="Microsoft YaHei" w:eastAsia="Microsoft YaHei"/>
                <w:b/>
                <w:sz w:val="18"/>
              </w:rPr>
              <w:t>验收方式</w:t>
            </w:r>
          </w:p>
        </w:tc>
      </w:tr>
      <w:tr>
        <w:tc>
          <w:tcPr>
            <w:tcW w:type="dxa" w:w="1684"/>
          </w:tcPr>
          <w:p>
            <w:r/>
            <w:r>
              <w:rPr>
                <w:rFonts w:ascii="Microsoft YaHei" w:hAnsi="Microsoft YaHei" w:eastAsia="Microsoft YaHei"/>
                <w:sz w:val="18"/>
              </w:rPr>
              <w:t>客户端帧预算</w:t>
            </w:r>
          </w:p>
        </w:tc>
        <w:tc>
          <w:tcPr>
            <w:tcW w:type="dxa" w:w="1684"/>
          </w:tcPr>
          <w:p>
            <w:r/>
            <w:r>
              <w:rPr>
                <w:rFonts w:ascii="Microsoft YaHei" w:hAnsi="Microsoft YaHei" w:eastAsia="Microsoft YaHei"/>
                <w:sz w:val="18"/>
              </w:rPr>
              <w:t>客户端</w:t>
            </w:r>
          </w:p>
        </w:tc>
        <w:tc>
          <w:tcPr>
            <w:tcW w:type="dxa" w:w="3368"/>
          </w:tcPr>
          <w:p>
            <w:r/>
            <w:r>
              <w:rPr>
                <w:rFonts w:ascii="Microsoft YaHei" w:hAnsi="Microsoft YaHei" w:eastAsia="Microsoft YaHei"/>
                <w:sz w:val="18"/>
              </w:rPr>
              <w:t>&lt;主线程增量≤2ms/帧&gt;</w:t>
            </w:r>
          </w:p>
        </w:tc>
        <w:tc>
          <w:tcPr>
            <w:tcW w:type="dxa" w:w="2619"/>
          </w:tcPr>
          <w:p>
            <w:r/>
            <w:r>
              <w:rPr>
                <w:rFonts w:ascii="Microsoft YaHei" w:hAnsi="Microsoft YaHei" w:eastAsia="Microsoft YaHei"/>
                <w:sz w:val="18"/>
              </w:rPr>
              <w:t>Profiler P95；低端机30fps无连续3帧卡顿</w:t>
            </w:r>
          </w:p>
        </w:tc>
      </w:tr>
      <w:tr>
        <w:tc>
          <w:tcPr>
            <w:tcW w:type="dxa" w:w="1684"/>
          </w:tcPr>
          <w:p>
            <w:r/>
            <w:r>
              <w:rPr>
                <w:rFonts w:ascii="Microsoft YaHei" w:hAnsi="Microsoft YaHei" w:eastAsia="Microsoft YaHei"/>
                <w:sz w:val="18"/>
              </w:rPr>
              <w:t>界面打开/首反馈</w:t>
            </w:r>
          </w:p>
        </w:tc>
        <w:tc>
          <w:tcPr>
            <w:tcW w:type="dxa" w:w="1684"/>
          </w:tcPr>
          <w:p>
            <w:r/>
            <w:r>
              <w:rPr>
                <w:rFonts w:ascii="Microsoft YaHei" w:hAnsi="Microsoft YaHei" w:eastAsia="Microsoft YaHei"/>
                <w:sz w:val="18"/>
              </w:rPr>
              <w:t>客户端</w:t>
            </w:r>
          </w:p>
        </w:tc>
        <w:tc>
          <w:tcPr>
            <w:tcW w:type="dxa" w:w="3368"/>
          </w:tcPr>
          <w:p>
            <w:r/>
            <w:r>
              <w:rPr>
                <w:rFonts w:ascii="Microsoft YaHei" w:hAnsi="Microsoft YaHei" w:eastAsia="Microsoft YaHei"/>
                <w:sz w:val="18"/>
              </w:rPr>
              <w:t>&lt;首反馈≤100ms；可交互≤300ms（冷资源≤1.5s）&gt;</w:t>
            </w:r>
          </w:p>
        </w:tc>
        <w:tc>
          <w:tcPr>
            <w:tcW w:type="dxa" w:w="2619"/>
          </w:tcPr>
          <w:p>
            <w:r/>
            <w:r>
              <w:rPr>
                <w:rFonts w:ascii="Microsoft YaHei" w:hAnsi="Microsoft YaHei" w:eastAsia="Microsoft YaHei"/>
                <w:sz w:val="18"/>
              </w:rPr>
              <w:t>自动化计时+真机P95</w:t>
            </w:r>
          </w:p>
        </w:tc>
      </w:tr>
      <w:tr>
        <w:tc>
          <w:tcPr>
            <w:tcW w:type="dxa" w:w="1684"/>
          </w:tcPr>
          <w:p>
            <w:r/>
            <w:r>
              <w:rPr>
                <w:rFonts w:ascii="Microsoft YaHei" w:hAnsi="Microsoft YaHei" w:eastAsia="Microsoft YaHei"/>
                <w:sz w:val="18"/>
              </w:rPr>
              <w:t>内存/资源</w:t>
            </w:r>
          </w:p>
        </w:tc>
        <w:tc>
          <w:tcPr>
            <w:tcW w:type="dxa" w:w="1684"/>
          </w:tcPr>
          <w:p>
            <w:r/>
            <w:r>
              <w:rPr>
                <w:rFonts w:ascii="Microsoft YaHei" w:hAnsi="Microsoft YaHei" w:eastAsia="Microsoft YaHei"/>
                <w:sz w:val="18"/>
              </w:rPr>
              <w:t>客户端+资源管线</w:t>
            </w:r>
          </w:p>
        </w:tc>
        <w:tc>
          <w:tcPr>
            <w:tcW w:type="dxa" w:w="3368"/>
          </w:tcPr>
          <w:p>
            <w:r/>
            <w:r>
              <w:rPr>
                <w:rFonts w:ascii="Microsoft YaHei" w:hAnsi="Microsoft YaHei" w:eastAsia="Microsoft YaHei"/>
                <w:sz w:val="18"/>
              </w:rPr>
              <w:t>&lt;系统常驻≤12MB；单次临时峰值≤30MB&gt;</w:t>
            </w:r>
          </w:p>
        </w:tc>
        <w:tc>
          <w:tcPr>
            <w:tcW w:type="dxa" w:w="2619"/>
          </w:tcPr>
          <w:p>
            <w:r/>
            <w:r>
              <w:rPr>
                <w:rFonts w:ascii="Microsoft YaHei" w:hAnsi="Microsoft YaHei" w:eastAsia="Microsoft YaHei"/>
                <w:sz w:val="18"/>
              </w:rPr>
              <w:t>内存快照；资源引用泄漏=0</w:t>
            </w:r>
          </w:p>
        </w:tc>
      </w:tr>
      <w:tr>
        <w:tc>
          <w:tcPr>
            <w:tcW w:type="dxa" w:w="1684"/>
          </w:tcPr>
          <w:p>
            <w:r/>
            <w:r>
              <w:rPr>
                <w:rFonts w:ascii="Microsoft YaHei" w:hAnsi="Microsoft YaHei" w:eastAsia="Microsoft YaHei"/>
                <w:sz w:val="18"/>
              </w:rPr>
              <w:t>网络</w:t>
            </w:r>
          </w:p>
        </w:tc>
        <w:tc>
          <w:tcPr>
            <w:tcW w:type="dxa" w:w="1684"/>
          </w:tcPr>
          <w:p>
            <w:r/>
            <w:r>
              <w:rPr>
                <w:rFonts w:ascii="Microsoft YaHei" w:hAnsi="Microsoft YaHei" w:eastAsia="Microsoft YaHei"/>
                <w:sz w:val="18"/>
              </w:rPr>
              <w:t>客户端+服务器</w:t>
            </w:r>
          </w:p>
        </w:tc>
        <w:tc>
          <w:tcPr>
            <w:tcW w:type="dxa" w:w="3368"/>
          </w:tcPr>
          <w:p>
            <w:r/>
            <w:r>
              <w:rPr>
                <w:rFonts w:ascii="Microsoft YaHei" w:hAnsi="Microsoft YaHei" w:eastAsia="Microsoft YaHei"/>
                <w:sz w:val="18"/>
              </w:rPr>
              <w:t>&lt;单请求≤16KB；P95往返≤200ms&gt;</w:t>
            </w:r>
          </w:p>
        </w:tc>
        <w:tc>
          <w:tcPr>
            <w:tcW w:type="dxa" w:w="2619"/>
          </w:tcPr>
          <w:p>
            <w:r/>
            <w:r>
              <w:rPr>
                <w:rFonts w:ascii="Microsoft YaHei" w:hAnsi="Microsoft YaHei" w:eastAsia="Microsoft YaHei"/>
                <w:sz w:val="18"/>
              </w:rPr>
              <w:t>弱网2%丢包/200ms RTT验证</w:t>
            </w:r>
          </w:p>
        </w:tc>
      </w:tr>
      <w:tr>
        <w:tc>
          <w:tcPr>
            <w:tcW w:type="dxa" w:w="1684"/>
          </w:tcPr>
          <w:p>
            <w:r/>
            <w:r>
              <w:rPr>
                <w:rFonts w:ascii="Microsoft YaHei" w:hAnsi="Microsoft YaHei" w:eastAsia="Microsoft YaHei"/>
                <w:sz w:val="18"/>
              </w:rPr>
              <w:t>服务端</w:t>
            </w:r>
          </w:p>
        </w:tc>
        <w:tc>
          <w:tcPr>
            <w:tcW w:type="dxa" w:w="1684"/>
          </w:tcPr>
          <w:p>
            <w:r/>
            <w:r>
              <w:rPr>
                <w:rFonts w:ascii="Microsoft YaHei" w:hAnsi="Microsoft YaHei" w:eastAsia="Microsoft YaHei"/>
                <w:sz w:val="18"/>
              </w:rPr>
              <w:t>服务器</w:t>
            </w:r>
          </w:p>
        </w:tc>
        <w:tc>
          <w:tcPr>
            <w:tcW w:type="dxa" w:w="3368"/>
          </w:tcPr>
          <w:p>
            <w:r/>
            <w:r>
              <w:rPr>
                <w:rFonts w:ascii="Microsoft YaHei" w:hAnsi="Microsoft YaHei" w:eastAsia="Microsoft YaHei"/>
                <w:sz w:val="18"/>
              </w:rPr>
              <w:t>&lt;接口P95≤150ms；错误率&lt;0.1%&gt;</w:t>
            </w:r>
          </w:p>
        </w:tc>
        <w:tc>
          <w:tcPr>
            <w:tcW w:type="dxa" w:w="2619"/>
          </w:tcPr>
          <w:p>
            <w:r/>
            <w:r>
              <w:rPr>
                <w:rFonts w:ascii="Microsoft YaHei" w:hAnsi="Microsoft YaHei" w:eastAsia="Microsoft YaHei"/>
                <w:sz w:val="18"/>
              </w:rPr>
              <w:t>压测+账本核对+并发冲突测试</w:t>
            </w:r>
          </w:p>
        </w:tc>
      </w:tr>
      <w:tr>
        <w:tc>
          <w:tcPr>
            <w:tcW w:type="dxa" w:w="1684"/>
          </w:tcPr>
          <w:p>
            <w:r/>
            <w:r>
              <w:rPr>
                <w:rFonts w:ascii="Microsoft YaHei" w:hAnsi="Microsoft YaHei" w:eastAsia="Microsoft YaHei"/>
                <w:sz w:val="18"/>
              </w:rPr>
              <w:t>包体/下载</w:t>
            </w:r>
          </w:p>
        </w:tc>
        <w:tc>
          <w:tcPr>
            <w:tcW w:type="dxa" w:w="1684"/>
          </w:tcPr>
          <w:p>
            <w:r/>
            <w:r>
              <w:rPr>
                <w:rFonts w:ascii="Microsoft YaHei" w:hAnsi="Microsoft YaHei" w:eastAsia="Microsoft YaHei"/>
                <w:sz w:val="18"/>
              </w:rPr>
              <w:t>资源管线</w:t>
            </w:r>
          </w:p>
        </w:tc>
        <w:tc>
          <w:tcPr>
            <w:tcW w:type="dxa" w:w="3368"/>
          </w:tcPr>
          <w:p>
            <w:r/>
            <w:r>
              <w:rPr>
                <w:rFonts w:ascii="Microsoft YaHei" w:hAnsi="Microsoft YaHei" w:eastAsia="Microsoft YaHei"/>
                <w:sz w:val="18"/>
              </w:rPr>
              <w:t>&lt;P0资源进首包或首场景分包；单系统增量≤5MB&gt;</w:t>
            </w:r>
          </w:p>
        </w:tc>
        <w:tc>
          <w:tcPr>
            <w:tcW w:type="dxa" w:w="2619"/>
          </w:tcPr>
          <w:p>
            <w:r/>
            <w:r>
              <w:rPr>
                <w:rFonts w:ascii="Microsoft YaHei" w:hAnsi="Microsoft YaHei" w:eastAsia="Microsoft YaHei"/>
                <w:sz w:val="18"/>
              </w:rPr>
              <w:t>构建报告；超预算需负责人豁免</w:t>
            </w:r>
          </w:p>
        </w:tc>
      </w:tr>
    </w:tbl>
    <w:p>
      <w:pPr>
        <w:pStyle w:val="Heading3"/>
      </w:pPr>
      <w:r>
        <w:rPr>
          <w:rFonts w:ascii="Microsoft YaHei" w:hAnsi="Microsoft YaHei" w:eastAsia="Microsoft YaHei"/>
        </w:rPr>
        <w:t>H. QA测试与验收红线</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310"/>
          </w:tcPr>
          <w:p>
            <w:r/>
            <w:r>
              <w:rPr>
                <w:rFonts w:ascii="Microsoft YaHei" w:hAnsi="Microsoft YaHei" w:eastAsia="Microsoft YaHei"/>
                <w:b/>
                <w:sz w:val="18"/>
              </w:rPr>
              <w:t>类型</w:t>
            </w:r>
          </w:p>
        </w:tc>
        <w:tc>
          <w:tcPr>
            <w:tcW w:type="dxa" w:w="5426"/>
          </w:tcPr>
          <w:p>
            <w:r/>
            <w:r>
              <w:rPr>
                <w:rFonts w:ascii="Microsoft YaHei" w:hAnsi="Microsoft YaHei" w:eastAsia="Microsoft YaHei"/>
                <w:b/>
                <w:sz w:val="18"/>
              </w:rPr>
              <w:t>用例/预期</w:t>
            </w:r>
          </w:p>
        </w:tc>
        <w:tc>
          <w:tcPr>
            <w:tcW w:type="dxa" w:w="935"/>
          </w:tcPr>
          <w:p>
            <w:r/>
            <w:r>
              <w:rPr>
                <w:rFonts w:ascii="Microsoft YaHei" w:hAnsi="Microsoft YaHei" w:eastAsia="Microsoft YaHei"/>
                <w:b/>
                <w:sz w:val="18"/>
              </w:rPr>
              <w:t>级别</w:t>
            </w:r>
          </w:p>
        </w:tc>
        <w:tc>
          <w:tcPr>
            <w:tcW w:type="dxa" w:w="1684"/>
          </w:tcPr>
          <w:p>
            <w:r/>
            <w:r>
              <w:rPr>
                <w:rFonts w:ascii="Microsoft YaHei" w:hAnsi="Microsoft YaHei" w:eastAsia="Microsoft YaHei"/>
                <w:b/>
                <w:sz w:val="18"/>
              </w:rPr>
              <w:t>负责人</w:t>
            </w:r>
          </w:p>
        </w:tc>
      </w:tr>
      <w:tr>
        <w:tc>
          <w:tcPr>
            <w:tcW w:type="dxa" w:w="1310"/>
          </w:tcPr>
          <w:p>
            <w:r/>
            <w:r>
              <w:rPr>
                <w:rFonts w:ascii="Microsoft YaHei" w:hAnsi="Microsoft YaHei" w:eastAsia="Microsoft YaHei"/>
                <w:sz w:val="18"/>
              </w:rPr>
              <w:t>功能主链</w:t>
            </w:r>
          </w:p>
        </w:tc>
        <w:tc>
          <w:tcPr>
            <w:tcW w:type="dxa" w:w="5426"/>
          </w:tcPr>
          <w:p>
            <w:r/>
            <w:r>
              <w:rPr>
                <w:rFonts w:ascii="Microsoft YaHei" w:hAnsi="Microsoft YaHei" w:eastAsia="Microsoft YaHei"/>
                <w:sz w:val="18"/>
              </w:rPr>
              <w:t>&lt;满足开启条件，从首态推进至成功态；校验UI、权威状态与奖励/输出一致&gt;</w:t>
            </w:r>
          </w:p>
        </w:tc>
        <w:tc>
          <w:tcPr>
            <w:tcW w:type="dxa" w:w="935"/>
          </w:tcPr>
          <w:p>
            <w:r/>
            <w:r>
              <w:rPr>
                <w:rFonts w:ascii="Microsoft YaHei" w:hAnsi="Microsoft YaHei" w:eastAsia="Microsoft YaHei"/>
                <w:sz w:val="18"/>
              </w:rPr>
              <w:t>P0</w:t>
            </w:r>
          </w:p>
        </w:tc>
        <w:tc>
          <w:tcPr>
            <w:tcW w:type="dxa" w:w="1684"/>
          </w:tcPr>
          <w:p>
            <w:r/>
            <w:r>
              <w:rPr>
                <w:rFonts w:ascii="Microsoft YaHei" w:hAnsi="Microsoft YaHei" w:eastAsia="Microsoft YaHei"/>
                <w:sz w:val="18"/>
              </w:rPr>
              <w:t>策划+QA</w:t>
            </w:r>
          </w:p>
        </w:tc>
      </w:tr>
      <w:tr>
        <w:tc>
          <w:tcPr>
            <w:tcW w:type="dxa" w:w="1310"/>
          </w:tcPr>
          <w:p>
            <w:r/>
            <w:r>
              <w:rPr>
                <w:rFonts w:ascii="Microsoft YaHei" w:hAnsi="Microsoft YaHei" w:eastAsia="Microsoft YaHei"/>
                <w:sz w:val="18"/>
              </w:rPr>
              <w:t>前置/边界</w:t>
            </w:r>
          </w:p>
        </w:tc>
        <w:tc>
          <w:tcPr>
            <w:tcW w:type="dxa" w:w="5426"/>
          </w:tcPr>
          <w:p>
            <w:r/>
            <w:r>
              <w:rPr>
                <w:rFonts w:ascii="Microsoft YaHei" w:hAnsi="Microsoft YaHei" w:eastAsia="Microsoft YaHei"/>
                <w:sz w:val="18"/>
              </w:rPr>
              <w:t>&lt;未解锁、配置关闭、空数据、上下限、时间边界、重复点击、取消与过期均返回明确状态&gt;</w:t>
            </w:r>
          </w:p>
        </w:tc>
        <w:tc>
          <w:tcPr>
            <w:tcW w:type="dxa" w:w="935"/>
          </w:tcPr>
          <w:p>
            <w:r/>
            <w:r>
              <w:rPr>
                <w:rFonts w:ascii="Microsoft YaHei" w:hAnsi="Microsoft YaHei" w:eastAsia="Microsoft YaHei"/>
                <w:sz w:val="18"/>
              </w:rPr>
              <w:t>P0</w:t>
            </w:r>
          </w:p>
        </w:tc>
        <w:tc>
          <w:tcPr>
            <w:tcW w:type="dxa" w:w="1684"/>
          </w:tcPr>
          <w:p>
            <w:r/>
            <w:r>
              <w:rPr>
                <w:rFonts w:ascii="Microsoft YaHei" w:hAnsi="Microsoft YaHei" w:eastAsia="Microsoft YaHei"/>
                <w:sz w:val="18"/>
              </w:rPr>
              <w:t>QA</w:t>
            </w:r>
          </w:p>
        </w:tc>
      </w:tr>
      <w:tr>
        <w:tc>
          <w:tcPr>
            <w:tcW w:type="dxa" w:w="1310"/>
          </w:tcPr>
          <w:p>
            <w:r/>
            <w:r>
              <w:rPr>
                <w:rFonts w:ascii="Microsoft YaHei" w:hAnsi="Microsoft YaHei" w:eastAsia="Microsoft YaHei"/>
                <w:sz w:val="18"/>
              </w:rPr>
              <w:t>并发/幂等</w:t>
            </w:r>
          </w:p>
        </w:tc>
        <w:tc>
          <w:tcPr>
            <w:tcW w:type="dxa" w:w="5426"/>
          </w:tcPr>
          <w:p>
            <w:r/>
            <w:r>
              <w:rPr>
                <w:rFonts w:ascii="Microsoft YaHei" w:hAnsi="Microsoft YaHei" w:eastAsia="Microsoft YaHei"/>
                <w:sz w:val="18"/>
              </w:rPr>
              <w:t>&lt;同一request_id重复10次、双端同时操作、事务中断重试，结果仅提交一次且账本可追溯&gt;</w:t>
            </w:r>
          </w:p>
        </w:tc>
        <w:tc>
          <w:tcPr>
            <w:tcW w:type="dxa" w:w="935"/>
          </w:tcPr>
          <w:p>
            <w:r/>
            <w:r>
              <w:rPr>
                <w:rFonts w:ascii="Microsoft YaHei" w:hAnsi="Microsoft YaHei" w:eastAsia="Microsoft YaHei"/>
                <w:sz w:val="18"/>
              </w:rPr>
              <w:t>P0</w:t>
            </w:r>
          </w:p>
        </w:tc>
        <w:tc>
          <w:tcPr>
            <w:tcW w:type="dxa" w:w="1684"/>
          </w:tcPr>
          <w:p>
            <w:r/>
            <w:r>
              <w:rPr>
                <w:rFonts w:ascii="Microsoft YaHei" w:hAnsi="Microsoft YaHei" w:eastAsia="Microsoft YaHei"/>
                <w:sz w:val="18"/>
              </w:rPr>
              <w:t>服务器+QA</w:t>
            </w:r>
          </w:p>
        </w:tc>
      </w:tr>
      <w:tr>
        <w:tc>
          <w:tcPr>
            <w:tcW w:type="dxa" w:w="1310"/>
          </w:tcPr>
          <w:p>
            <w:r/>
            <w:r>
              <w:rPr>
                <w:rFonts w:ascii="Microsoft YaHei" w:hAnsi="Microsoft YaHei" w:eastAsia="Microsoft YaHei"/>
                <w:sz w:val="18"/>
              </w:rPr>
              <w:t>兼容/资源</w:t>
            </w:r>
          </w:p>
        </w:tc>
        <w:tc>
          <w:tcPr>
            <w:tcW w:type="dxa" w:w="5426"/>
          </w:tcPr>
          <w:p>
            <w:r/>
            <w:r>
              <w:rPr>
                <w:rFonts w:ascii="Microsoft YaHei" w:hAnsi="Microsoft YaHei" w:eastAsia="Microsoft YaHei"/>
                <w:sz w:val="18"/>
              </w:rPr>
              <w:t>&lt;旧存档、旧配置、弱网、断线重连、缺asset/文案、低端机和多语言长文本均可降级&gt;</w:t>
            </w:r>
          </w:p>
        </w:tc>
        <w:tc>
          <w:tcPr>
            <w:tcW w:type="dxa" w:w="935"/>
          </w:tcPr>
          <w:p>
            <w:r/>
            <w:r>
              <w:rPr>
                <w:rFonts w:ascii="Microsoft YaHei" w:hAnsi="Microsoft YaHei" w:eastAsia="Microsoft YaHei"/>
                <w:sz w:val="18"/>
              </w:rPr>
              <w:t>P0</w:t>
            </w:r>
          </w:p>
        </w:tc>
        <w:tc>
          <w:tcPr>
            <w:tcW w:type="dxa" w:w="1684"/>
          </w:tcPr>
          <w:p>
            <w:r/>
            <w:r>
              <w:rPr>
                <w:rFonts w:ascii="Microsoft YaHei" w:hAnsi="Microsoft YaHei" w:eastAsia="Microsoft YaHei"/>
                <w:sz w:val="18"/>
              </w:rPr>
              <w:t>客户端+QA</w:t>
            </w:r>
          </w:p>
        </w:tc>
      </w:tr>
      <w:tr>
        <w:tc>
          <w:tcPr>
            <w:tcW w:type="dxa" w:w="1310"/>
          </w:tcPr>
          <w:p>
            <w:r/>
            <w:r>
              <w:rPr>
                <w:rFonts w:ascii="Microsoft YaHei" w:hAnsi="Microsoft YaHei" w:eastAsia="Microsoft YaHei"/>
                <w:sz w:val="18"/>
              </w:rPr>
              <w:t>埋点/性能</w:t>
            </w:r>
          </w:p>
        </w:tc>
        <w:tc>
          <w:tcPr>
            <w:tcW w:type="dxa" w:w="5426"/>
          </w:tcPr>
          <w:p>
            <w:r/>
            <w:r>
              <w:rPr>
                <w:rFonts w:ascii="Microsoft YaHei" w:hAnsi="Microsoft YaHei" w:eastAsia="Microsoft YaHei"/>
                <w:sz w:val="18"/>
              </w:rPr>
              <w:t>&lt;三类事件字段齐全且客户端/服务端可对账；P95指标、内存、包体和带宽满足预算&gt;</w:t>
            </w:r>
          </w:p>
        </w:tc>
        <w:tc>
          <w:tcPr>
            <w:tcW w:type="dxa" w:w="935"/>
          </w:tcPr>
          <w:p>
            <w:r/>
            <w:r>
              <w:rPr>
                <w:rFonts w:ascii="Microsoft YaHei" w:hAnsi="Microsoft YaHei" w:eastAsia="Microsoft YaHei"/>
                <w:sz w:val="18"/>
              </w:rPr>
              <w:t>P0</w:t>
            </w:r>
          </w:p>
        </w:tc>
        <w:tc>
          <w:tcPr>
            <w:tcW w:type="dxa" w:w="1684"/>
          </w:tcPr>
          <w:p>
            <w:r/>
            <w:r>
              <w:rPr>
                <w:rFonts w:ascii="Microsoft YaHei" w:hAnsi="Microsoft YaHei" w:eastAsia="Microsoft YaHei"/>
                <w:sz w:val="18"/>
              </w:rPr>
              <w:t>数据+性能QA</w:t>
            </w:r>
          </w:p>
        </w:tc>
      </w:tr>
      <w:tr>
        <w:tc>
          <w:tcPr>
            <w:tcW w:type="dxa" w:w="1310"/>
          </w:tcPr>
          <w:p>
            <w:r/>
            <w:r>
              <w:rPr>
                <w:rFonts w:ascii="Microsoft YaHei" w:hAnsi="Microsoft YaHei" w:eastAsia="Microsoft YaHei"/>
                <w:sz w:val="18"/>
              </w:rPr>
              <w:t>P1体验</w:t>
            </w:r>
          </w:p>
        </w:tc>
        <w:tc>
          <w:tcPr>
            <w:tcW w:type="dxa" w:w="5426"/>
          </w:tcPr>
          <w:p>
            <w:r/>
            <w:r>
              <w:rPr>
                <w:rFonts w:ascii="Microsoft YaHei" w:hAnsi="Microsoft YaHei" w:eastAsia="Microsoft YaHei"/>
                <w:sz w:val="18"/>
              </w:rPr>
              <w:t>&lt;快捷操作、批量、自动化、个性化与辅助功能不破坏P0主链，关闭P1开关仍可完整运行&gt;</w:t>
            </w:r>
          </w:p>
        </w:tc>
        <w:tc>
          <w:tcPr>
            <w:tcW w:type="dxa" w:w="935"/>
          </w:tcPr>
          <w:p>
            <w:r/>
            <w:r>
              <w:rPr>
                <w:rFonts w:ascii="Microsoft YaHei" w:hAnsi="Microsoft YaHei" w:eastAsia="Microsoft YaHei"/>
                <w:sz w:val="18"/>
              </w:rPr>
              <w:t>P1</w:t>
            </w:r>
          </w:p>
        </w:tc>
        <w:tc>
          <w:tcPr>
            <w:tcW w:type="dxa" w:w="1684"/>
          </w:tcPr>
          <w:p>
            <w:r/>
            <w:r>
              <w:rPr>
                <w:rFonts w:ascii="Microsoft YaHei" w:hAnsi="Microsoft YaHei" w:eastAsia="Microsoft YaHei"/>
                <w:sz w:val="18"/>
              </w:rPr>
              <w:t>策划+QA</w:t>
            </w:r>
          </w:p>
        </w:tc>
      </w:tr>
    </w:tbl>
    <w:p>
      <w:r>
        <w:rPr>
          <w:rFonts w:ascii="Microsoft YaHei" w:hAnsi="Microsoft YaHei" w:eastAsia="Microsoft YaHei"/>
          <w:b w:val="0"/>
          <w:i w:val="0"/>
          <w:sz w:val="21"/>
        </w:rPr>
        <w:t>系统DoD　&lt;P0主链、失败/恢复、Schema、权威归属、资源fallback、三类埋点、性能预算和P0用例全部通过；P1可独立关闭；竞品事实、推断、适配和非目标有记录。&gt;</w:t>
      </w:r>
    </w:p>
    <w:p>
      <w:pPr>
        <w:pStyle w:val="Heading2"/>
      </w:pPr>
      <w:r>
        <w:t>S01｜实时战斗系统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先记录竞品可见事实与证据ID，再判断其解决的玩家问题；将“用固定帧或固定 tick 处理移动、技能、伤害、死亡与胜负。”拆成可迁移机制，不得照搬竞品数值、命名、界面或内容。若该机制不能改善本项目核心循环、目标指标或生产效率，则标记N/A。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若该系统被竞品证据与本项目核心循环确认，P0只做实时战斗的最短可玩闭环：进入→操作→权威结算→反馈→持久化。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在留存/深度指标证明需要后，再扩展实时战斗的高级规则、组合内容、便捷操作与运营化能力。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目标：用固定帧或固定 tick 处理移动、技能、伤害、死亡与胜负。｜层级：核心玩法｜适用：动作、RTS、MOBA、塔防、生存、多人竞技</w:t>
      </w:r>
    </w:p>
    <w:p>
      <w:r>
        <w:rPr>
          <w:rFonts w:ascii="Hiragino Sans GB" w:hAnsi="Hiragino Sans GB" w:eastAsia="Hiragino Sans GB"/>
          <w:b w:val="0"/>
          <w:i w:val="0"/>
          <w:color w:val="20252B"/>
          <w:sz w:val="21"/>
        </w:rPr>
        <w:t>标准状态：Init→Ready→Running→Paused/Reconnecting→Settling→Ended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cfg_combat版本匹配；依赖系统、资产Manifest和本地化key可用；当前状态=Init。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玩家从pf_battle_scene进入；客户端提交意图；共享规则按 `Init→Ready→Running→Paused/Reconnecting→Settling→Ended`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`player_combat_state`/领域账本；广播领域事件；刷新相关UI、红点与任务；上报完成事件。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pf_battle_scene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pf_unit_*</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pf_projectile_*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pf_battle_hud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combat-rules.ts / combat-system.ts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battle-controller.ts / entity-renderer.ts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pf_battle_scene, pf_unit_*, pf_projectile_*, pf_battle_hud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match-simulation.service.ts / anti-cheat.service.ts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cfg_combat, cfg_unit, cfg_skill, cfg_damage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tick_rate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10..60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权威模拟tick/s</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cfg_combat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match_duration_sec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30..3600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对局时长上限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combat_enabled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combat_rule_version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player_combat_state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单位动画</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AssetsSource/S01/UI/asset_s01_01/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Assets/Game/S01/UI/asset_s01_01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攻击/命中/死亡VFX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AssetsSource/S01/VFX/asset_s01_02/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Assets/Game/S01/VFX/asset_s01_02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战斗HUD</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AssetsSource/S01/UI/asset_s01_03/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Assets/Game/S01/UI/asset_s01_03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SFX/BGM</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AssetsSource/S01/Audio/asset_s01_04/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Assets/Game/S01/Audio/asset_s01_04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combat_opened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uid,session_id,entry,config_version,tick_rate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combat_action_submitted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combat_result_committed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满足开启条件，从首态推进至成功态；校验UI、权威状态、`player_combat_state`与奖励/输出一致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S02｜回合战斗系统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行动顺序、回合资源、目标选择、效果结算和回合胜负。”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若该系统被竞品证据与本项目核心循环确认，P0只做回合战斗的最短可玩闭环：进入→操作→权威结算→反馈→持久化。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在留存/深度指标证明需要后，再扩展回合战斗的高级规则、组合内容、便捷操作与运营化能力。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目标：管理行动顺序、回合资源、目标选择、效果结算和回合胜负。｜层级：核心玩法｜适用：回合RPG、策略、卡牌、战棋</w:t>
      </w:r>
    </w:p>
    <w:p>
      <w:r>
        <w:rPr>
          <w:rFonts w:ascii="Hiragino Sans GB" w:hAnsi="Hiragino Sans GB" w:eastAsia="Hiragino Sans GB"/>
          <w:b w:val="0"/>
          <w:i w:val="0"/>
          <w:color w:val="20252B"/>
          <w:sz w:val="21"/>
        </w:rPr>
        <w:t>标准状态：Setup→TurnStart→SelectAction→Resolve→TurnEnd→VictoryCheck</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cfg_turn_rule版本匹配；依赖系统、资产Manifest和本地化key可用；当前状态=Setup。</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玩家从pf_turn_battle进入；客户端提交意图；共享规则按 `Setup→TurnStart→SelectAction→Resolve→TurnEnd→VictoryCheck`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`player_turn_rule_state`/领域账本；广播领域事件；刷新相关UI、红点与任务；上报完成事件。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pf_turn_battle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pf_actor_slot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pf_action_panel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pf_status_icon</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turn-rules.ts / effect-resolver.ts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turn-battle-controller.ts / target-view.ts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pf_turn_battle, pf_actor_slot, pf_action_panel, pf_status_icon</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turn-match.service.ts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cfg_turn_rule, cfg_action, cfg_status_effect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max_round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最大回合数</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cfg_turn_rule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turn_timeout_sec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3..300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单回合操作时限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turn_rule_enabled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turn_rule_rule_version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player_turn_rule_state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角色战斗表现</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AssetsSource/S02/UI/asset_s02_01/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Assets/Game/S02/UI/asset_s02_01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技能图标/VFX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AssetsSource/S02/VFX/asset_s02_02/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Assets/Game/S02/VFX/asset_s02_02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回合条</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AssetsSource/S02/UI/asset_s02_03/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Assets/Game/S02/UI/asset_s02_03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状态图标</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AssetsSource/S02/Texture/asset_s02_04/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Assets/Game/S02/Texture/asset_s02_04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turn_rule_opened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uid,session_id,entry,config_version,max_round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turn_rule_action_submitted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turn_rule_result_committed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满足开启条件，从首态推进至成功态；校验UI、权威状态、`player_turn_rule_state`与奖励/输出一致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S03｜射击战斗系统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处理瞄准、射线/投射物、后坐力、命中部位、弹药和反作弊。”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若该系统被竞品证据与本项目核心循环确认，P0只做射击战斗的最短可玩闭环：进入→操作→权威结算→反馈→持久化。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在留存/深度指标证明需要后，再扩展射击战斗的高级规则、组合内容、便捷操作与运营化能力。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目标：处理瞄准、射线/投射物、后坐力、命中部位、弹药和反作弊。｜层级：核心玩法｜适用：FPS/TPS、Battle Royale、搜打撤</w:t>
      </w:r>
    </w:p>
    <w:p>
      <w:r>
        <w:rPr>
          <w:rFonts w:ascii="Hiragino Sans GB" w:hAnsi="Hiragino Sans GB" w:eastAsia="Hiragino Sans GB"/>
          <w:b w:val="0"/>
          <w:i w:val="0"/>
          <w:color w:val="20252B"/>
          <w:sz w:val="21"/>
        </w:rPr>
        <w:t>标准状态：Spawn→Armed→Aim/Fire/Reload→Hit/Down→Death/Extract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cfg_weapon版本匹配；依赖系统、资产Manifest和本地化key可用；当前状态=Spawn。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玩家从pf_weapon_*进入；客户端提交意图；共享规则按 `Spawn→Armed→Aim/Fire/Reload→Hit/Down→Death/Extract`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`player_weapon_state`/领域账本；广播领域事件；刷新相关UI、红点与任务；上报完成事件。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pf_weapon_*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pf_crosshair</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pf_hit_marker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pf_ammo_hud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weapon-rules.ts / hit-scan.ts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weapon-controller.ts / crosshair-view.ts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pf_weapon_*, pf_crosshair, pf_hit_marker, pf_ammo_hud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hit-validation.service.ts / lag-compensation.ts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cfg_weapon, cfg_attachment, cfg_ballistics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fire_rate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0.1..30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每秒射击次数</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cfg_weapon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lag_comp_ms</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0..500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150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回溯命中窗口</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weapon_enabled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weapon_rule_version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player_weapon_state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武器模型/动画</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AssetsSource/S03/Model/asset_s03_01/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Assets/Game/S03/Model/asset_s03_01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准星与命中标</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AssetsSource/S03/UI/asset_s03_02/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Assets/Game/S03/UI/asset_s03_02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枪口/弹道VFX</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AssetsSource/S03/VFX/asset_s03_03/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Assets/Game/S03/VFX/asset_s03_03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枪声/环境声</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asset_s03_04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AssetsSource/S03/UI/asset_s03_04/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Assets/Game/S03/UI/asset_s03_04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weapon_opened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uid,session_id,entry,config_version,fire_rate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weapon_action_submitted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weapon_result_committed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满足开启条件，从首态推进至成功态；校验UI、权威状态、`player_weapon_state`与奖励/输出一致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S04｜卡牌战斗与卡组系统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定义抽牌、手牌、费用、出牌、牌堆、卡组合法性和效果解析。”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若该系统被竞品证据与本项目核心循环确认，P0只做卡牌战斗与卡组的最短可玩闭环：进入→操作→权威结算→反馈→持久化。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在留存/深度指标证明需要后，再扩展卡牌战斗与卡组的高级规则、组合内容、便捷操作与运营化能力。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目标：定义抽牌、手牌、费用、出牌、牌堆、卡组合法性和效果解析。｜层级：核心玩法｜适用：CCG、卡牌RPG、Deckbuilder</w:t>
      </w:r>
    </w:p>
    <w:p>
      <w:r>
        <w:rPr>
          <w:rFonts w:ascii="Hiragino Sans GB" w:hAnsi="Hiragino Sans GB" w:eastAsia="Hiragino Sans GB"/>
          <w:b w:val="0"/>
          <w:i w:val="0"/>
          <w:color w:val="20252B"/>
          <w:sz w:val="21"/>
        </w:rPr>
        <w:t>标准状态：DeckValidated→Draw→Main→ResolveStack→Discard→RoundEnd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cfg_card版本匹配；依赖系统、资产Manifest和本地化key可用；当前状态=DeckValidated。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玩家从pf_card进入；客户端提交意图；共享规则按 `DeckValidated→Draw→Main→ResolveStack→Discard→RoundEnd`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`player_card_state`/领域账本；广播领域事件；刷新相关UI、红点与任务；上报完成事件。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pf_deck_editor</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pf_hand_area</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pf_card_detail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deck-rules.ts / card-effect.ts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deck-editor-controller.ts / card-view.ts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pf_card, pf_deck_editor, pf_hand_area, pf_card_detail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deck.service.ts / match-card.service.ts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cfg_card, cfg_deck_rule, cfg_card_effect, cfg_rarity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deck_size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1..200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卡组张数</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cfg_card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initial_hand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初始手牌</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card_enabled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card_rule_version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player_card_state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卡面/插画</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AssetsSource/S04/Texture/asset_s04_01/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Assets/Game/S04/Texture/asset_s04_01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稀有度边框</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AssetsSource/S04/UI/asset_s04_02/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Assets/Game/S04/UI/asset_s04_02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费用/类型图标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AssetsSource/S04/Texture/asset_s04_03/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Assets/Game/S04/Texture/asset_s04_03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出牌VFX/SFX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AssetsSource/S04/Audio/asset_s04_04/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Assets/Game/S04/Audio/asset_s04_04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card_opened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uid,session_id,entry,config_version,deck_size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card_action_submitted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card_result_committed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满足开启条件，从首态推进至成功态；校验UI、权威状态、`player_card_state`与奖励/输出一致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S05｜阵容与自动战斗系统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角色选择、站位、羁绊、自动决策和战斗快照。”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若该系统被竞品证据与本项目核心循环确认，P0只做阵容与自动战斗的最短可玩闭环：进入→操作→权威结算→反馈→持久化。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在留存/深度指标证明需要后，再扩展阵容与自动战斗的高级规则、组合内容、便捷操作与运营化能力。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目标：管理角色选择、站位、羁绊、自动决策和战斗快照。｜层级：核心玩法｜适用：自走棋、放置、回合RPG、体育经理</w:t>
      </w:r>
    </w:p>
    <w:p>
      <w:r>
        <w:rPr>
          <w:rFonts w:ascii="Hiragino Sans GB" w:hAnsi="Hiragino Sans GB" w:eastAsia="Hiragino Sans GB"/>
          <w:b w:val="0"/>
          <w:i w:val="0"/>
          <w:color w:val="20252B"/>
          <w:sz w:val="21"/>
        </w:rPr>
        <w:t>标准状态：EditLineup→Validate→Snapshot→AutoBattle→Result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cfg_formation版本匹配；依赖系统、资产Manifest和本地化key可用；当前状态=EditLineup。</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玩家从pf_formation_grid进入；客户端提交意图；共享规则按 `EditLineup→Validate→Snapshot→AutoBattle→Result`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`player_formation_state`/领域账本；广播领域事件；刷新相关UI、红点与任务；上报完成事件。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pf_formation_grid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pf_actor_slot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pf_synergy_panel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lineup-rules.ts / synergy-system.ts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lineup-controller.ts / formation-view.ts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pf_formation_grid, pf_actor_slot, pf_synergy_panel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lineup.service.ts / auto-battle.service.ts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cfg_formation, cfg_synergy, cfg_auto_policy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formation_rows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1..20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阵型行数</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cfg_formation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auto_tick_ms</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50..1000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200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自动决策周期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formation_enabled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控制S05入口和服务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formation_rule_version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player_formation_state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角色头像/模型</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asset_s05_01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AssetsSource/S05/Model/asset_s05_01/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Assets/Game/S05/Model/asset_s05_01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站位格</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asset_s05_02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AssetsSource/S05/UI/asset_s05_02/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Assets/Game/S05/UI/asset_s05_02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羁绊图标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asset_s05_03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AssetsSource/S05/Texture/asset_s05_03/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Assets/Game/S05/Texture/asset_s05_03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自动战斗反馈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asset_s05_04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AssetsSource/S05/VFX/asset_s05_04/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Assets/Game/S05/VFX/asset_s05_04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formation_opened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uid,session_id,entry,config_version,formation_rows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formation_action_submitted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formation_result_committed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满足开启条件，从首态推进至成功态；校验UI、权威状态、`player_formation_state`与奖励/输出一致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S06｜谜题与机关系统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声明谜题规则、可交互对象、条件、提示、失败重置和完成输出。”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若该系统被竞品证据与本项目核心循环确认，P0只做谜题与机关的最短可玩闭环：进入→操作→权威结算→反馈→持久化。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在留存/深度指标证明需要后，再扩展谜题与机关的高级规则、组合内容、便捷操作与运营化能力。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目标：声明谜题规则、可交互对象、条件、提示、失败重置和完成输出。｜层级：核心玩法｜适用：解谜、AVG、平台、三消、Roguelite事件</w:t>
      </w:r>
    </w:p>
    <w:p>
      <w:r>
        <w:rPr>
          <w:rFonts w:ascii="Hiragino Sans GB" w:hAnsi="Hiragino Sans GB" w:eastAsia="Hiragino Sans GB"/>
          <w:b w:val="0"/>
          <w:i w:val="0"/>
          <w:color w:val="20252B"/>
          <w:sz w:val="21"/>
        </w:rPr>
        <w:t>标准状态：Locked→Observed→Attempting→Hinted→Solved/Failed→Reset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cfg_puzzle版本匹配；依赖系统、资产Manifest和本地化key可用；当前状态=Locked。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玩家从pf_puzzle_root进入；客户端提交意图；共享规则按 `Locked→Observed→Attempting→Hinted→Solved/Failed→Reset`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`player_puzzle_state`/领域账本；广播领域事件；刷新相关UI、红点与任务；上报完成事件。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pf_puzzle_root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pf_mechanism_*</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pf_hint_panel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pf_clue_item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puzzle-rules.ts / condition-graph.ts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puzzle-controller.ts / interactable-view.ts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pf_puzzle_root, pf_mechanism_*, pf_hint_panel, pf_clue_item</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puzzle-progress.service.ts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cfg_puzzle, cfg_mechanism, cfg_hint, cfg_solution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max_attempts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0表示不限次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cfg_puzzle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hint_delay_sec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0..3600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60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首个提示延迟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puzzle_enabled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控制S06入口和服务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puzzle_rule_version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player_puzzle_state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机关状态资源</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asset_s06_01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AssetsSource/S06/UI/asset_s06_01/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Assets/Game/S06/UI/asset_s06_01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线索物件</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asset_s06_02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AssetsSource/S06/Model/asset_s06_02/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Assets/Game/S06/Model/asset_s06_02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提示UI</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asset_s06_03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AssetsSource/S06/UI/asset_s06_03/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Assets/Game/S06/UI/asset_s06_03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成功/失败反馈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asset_s06_04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AssetsSource/S06/VFX/asset_s06_04/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Assets/Game/S06/VFX/asset_s06_04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puzzle_opened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uid,session_id,entry,config_version,max_attempts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puzzle_action_submitted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puzzle_result_committed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满足开启条件，从首态推进至成功态；校验UI、权威状态、`player_puzzle_state`与奖励/输出一致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S07｜对话系统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播放说话人、文本、表情、语音、选择项和对话事件。”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若该系统被竞品证据与本项目核心循环确认，P0只做对话的最短可玩闭环：进入→操作→权威结算→反馈→持久化。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在留存/深度指标证明需要后，再扩展对话的高级规则、组合内容、便捷操作与运营化能力。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目标：播放说话人、文本、表情、语音、选择项和对话事件。｜层级：内容｜适用：RPG、AVG、视觉小说、解谜、社交推理</w:t>
      </w:r>
    </w:p>
    <w:p>
      <w:r>
        <w:rPr>
          <w:rFonts w:ascii="Hiragino Sans GB" w:hAnsi="Hiragino Sans GB" w:eastAsia="Hiragino Sans GB"/>
          <w:b w:val="0"/>
          <w:i w:val="0"/>
          <w:color w:val="20252B"/>
          <w:sz w:val="21"/>
        </w:rPr>
        <w:t>标准状态：Enter→LineStart→Typing→AwaitInput→Choice/Event→Exit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cfg_dialogue版本匹配；依赖系统、资产Manifest和本地化key可用；当前状态=Enter。</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玩家从pf_dialogue_box进入；客户端提交意图；共享规则按 `Enter→LineStart→Typing→AwaitInput→Choice/Event→Exit`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`player_dialogue_state`/领域账本；广播领域事件；刷新相关UI、红点与任务；上报完成事件。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pf_dialogue_box</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pf_speaker_portrait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pf_choice_item</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pf_nameplate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dialogue-schema.ts / dialogue-runner.ts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dialogue-controller.ts / dialogue-view.ts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pf_dialogue_box, pf_speaker_portrait, pf_choice_item, pf_nameplate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dialogue-progress.service.ts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cfg_dialogue, cfg_speaker, cfg_voice, cfg_localization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typing_speed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字符/秒</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cfg_dialogue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auto_advance_sec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0表示关闭自动推进</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dialogue_enabled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控制S07入口和服务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dialogue_rule_version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player_dialogue_state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角色立绘/表情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asset_s07_01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AssetsSource/S07/Texture/asset_s07_01/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Assets/Game/S07/Texture/asset_s07_01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对话框/姓名牌</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asset_s07_02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AssetsSource/S07/UI/asset_s07_02/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Assets/Game/S07/UI/asset_s07_02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选项按钮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asset_s07_03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AssetsSource/S07/UI/asset_s07_03/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Assets/Game/S07/UI/asset_s07_03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配音/文字音效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asset_s07_04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AssetsSource/S07/Audio/asset_s07_04/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Assets/Game/S07/Audio/asset_s07_04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dialogue_opened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uid,session_id,entry,config_version,typing_speed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dialogue_action_submitted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dialogue_result_committed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满足开启条件，从首态推进至成功态；校验UI、权威状态、`player_dialogue_state`与奖励/输出一致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S08｜剧情线与分支系统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用节点图管理章节、前置条件、选择、变量、回溯、锁定和结局。”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若该系统被竞品证据与本项目核心循环确认，P0只做剧情线与分支的最短可玩闭环：进入→操作→权威结算→反馈→持久化。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在留存/深度指标证明需要后，再扩展剧情线与分支的高级规则、组合内容、便捷操作与运营化能力。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目标：用节点图管理章节、前置条件、选择、变量、回溯、锁定和结局。｜层级：内容｜适用：RPG、AVG、视觉小说、解谜、生活模拟</w:t>
      </w:r>
    </w:p>
    <w:p>
      <w:r>
        <w:rPr>
          <w:rFonts w:ascii="Hiragino Sans GB" w:hAnsi="Hiragino Sans GB" w:eastAsia="Hiragino Sans GB"/>
          <w:b w:val="0"/>
          <w:i w:val="0"/>
          <w:color w:val="20252B"/>
          <w:sz w:val="21"/>
        </w:rPr>
        <w:t>标准状态：Unavailable→Available→Active→Completed/Failed→BranchLocked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cfg_story_graph版本匹配；依赖系统、资产Manifest和本地化key可用；当前状态=Unavailable。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玩家从pf_chapter_map进入；客户端提交意图；共享规则按 `Unavailable→Available→Active→Completed/Failed→BranchLocked`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`player_story_graph_state`/领域账本；广播领域事件；刷新相关UI、红点与任务；上报完成事件。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pf_chapter_map</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pf_story_node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pf_branch_choice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pf_recap_panel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story-graph.ts / story-condition.ts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story-controller.ts / chapter-view.ts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pf_chapter_map, pf_story_node, pf_branch_choice, pf_recap_panel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story-state.service.ts / story.repository.ts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cfg_story_graph, cfg_story_node, cfg_story_variable, cfg_ending</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chapter_id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关联章节</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cfg_story_graph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rollback_allowed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是否允许回溯分支</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story_graph_enabled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控制S08入口和服务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story_graph_rule_version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player_story_graph_state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章节封面</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asset_s08_01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AssetsSource/S08/Texture/asset_s08_01/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Assets/Game/S08/Texture/asset_s08_01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剧情节点/路线</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asset_s08_02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AssetsSource/S08/UI/asset_s08_02/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Assets/Game/S08/UI/asset_s08_02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回顾页</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asset_s08_03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AssetsSource/S08/UI/asset_s08_03/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Assets/Game/S08/UI/asset_s08_03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关键CG/过场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asset_s08_04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源ProRes 422；runtime H.264/H.265；1920×1080或1080×1920；码率6–12Mbps</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AssetsSource/S08/Video/asset_s08_04/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Assets/Game/S08/Video/asset_s08_04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story_graph_opened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uid,session_id,entry,config_version,chapter_id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story_graph_action_submitted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story_graph_result_committed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满足开启条件，从首态推进至成功态；校验UI、权威状态、`player_story_graph_state`与奖励/输出一致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S09｜关系、好感与结局系统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累计关系变量，触发阶段、事件、冲突和多结局。”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若该系统被竞品证据与本项目核心循环确认，P0只做关系、好感与结局的最短可玩闭环：进入→操作→权威结算→反馈→持久化。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在留存/深度指标证明需要后，再扩展关系、好感与结局的高级规则、组合内容、便捷操作与运营化能力。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目标：累计关系变量，触发阶段、事件、冲突和多结局。｜层级：成长｜适用：视觉小说、生活模拟、RPG、叙事选择</w:t>
      </w:r>
    </w:p>
    <w:p>
      <w:r>
        <w:rPr>
          <w:rFonts w:ascii="Hiragino Sans GB" w:hAnsi="Hiragino Sans GB" w:eastAsia="Hiragino Sans GB"/>
          <w:b w:val="0"/>
          <w:i w:val="0"/>
          <w:color w:val="20252B"/>
          <w:sz w:val="21"/>
        </w:rPr>
        <w:t>标准状态：Unknown→Met→StageN→Conflict→Resolved→Ending</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cfg_relationship版本匹配；依赖系统、资产Manifest和本地化key可用；当前状态=Unknown。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玩家从pf_affinity_panel进入；客户端提交意图；共享规则按 `Unknown→Met→StageN→Conflict→Resolved→Ending`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`player_relationship_state`/领域账本；广播领域事件；刷新相关UI、红点与任务；上报完成事件。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pf_affinity_panel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pf_character_profile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pf_ending_gallery</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relationship-rules.ts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relationship-controller.ts / affinity-view.ts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pf_affinity_panel, pf_character_profile, pf_ending_gallery</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relationship.service.ts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cfg_relationship, cfg_affinity_stage, cfg_ending</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affinity_min</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-999999..999999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阶段下限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cfg_relationship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ending_rule_id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结局条件外键</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relationship_enabled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控制S09入口和服务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relationship_rule_version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player_relationship_state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角色档案</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asset_s09_01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AssetsSource/S09/UI/asset_s09_01/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Assets/Game/S09/UI/asset_s09_01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好感阶段标识</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asset_s09_02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AssetsSource/S09/UI/asset_s09_02/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Assets/Game/S09/UI/asset_s09_02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关系事件CG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asset_s09_03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源ProRes 422；runtime H.264/H.265；1920×1080或1080×1920；码率6–12Mbps</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AssetsSource/S09/Video/asset_s09_03/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Assets/Game/S09/Video/asset_s09_03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结局收藏</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asset_s09_04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AssetsSource/S09/UI/asset_s09_04/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Assets/Game/S09/UI/asset_s09_04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relationship_opened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uid,session_id,entry,config_version,affinity_min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relationship_action_submitted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relationship_result_committed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满足开启条件，从首态推进至成功态；校验UI、权威状态、`player_relationship_state`与奖励/输出一致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S10｜关卡、波次与检查点系统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组织关卡进入、目标、生成、检查点、失败重试、评分与结算。”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若该系统被竞品证据与本项目核心循环确认，P0只做关卡、波次与检查点的最短可玩闭环：进入→操作→权威结算→反馈→持久化。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在留存/深度指标证明需要后，再扩展关卡、波次与检查点的高级规则、组合内容、便捷操作与运营化能力。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目标：组织关卡进入、目标、生成、检查点、失败重试、评分与结算。｜层级：内容｜适用：绝大多数关卡制游戏</w:t>
      </w:r>
    </w:p>
    <w:p>
      <w:r>
        <w:rPr>
          <w:rFonts w:ascii="Hiragino Sans GB" w:hAnsi="Hiragino Sans GB" w:eastAsia="Hiragino Sans GB"/>
          <w:b w:val="0"/>
          <w:i w:val="0"/>
          <w:color w:val="20252B"/>
          <w:sz w:val="21"/>
        </w:rPr>
        <w:t>标准状态：Locked→Ready→Loading→Playing→Checkpoint→Success/Fail</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cfg_level版本匹配；依赖系统、资产Manifest和本地化key可用；当前状态=Locked。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玩家从pf_level_root进入；客户端提交意图；共享规则按 `Locked→Ready→Loading→Playing→Checkpoint→Success/Fail`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`player_level_state`/领域账本；广播领域事件；刷新相关UI、红点与任务；上报完成事件。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pf_level_root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pf_spawn_point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pf_checkpoint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pf_objective_hud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level-rules.ts / objective-system.ts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level-controller.ts / objective-view.ts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pf_level_root, pf_spawn_point, pf_checkpoint, pf_objective_hud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level.service.ts / result.service.ts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cfg_level, cfg_objective, cfg_spawn_wave, cfg_score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stamina_cost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0..9999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进入消耗</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retry_limit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0..999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0表示不限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控制S10入口和服务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player_level_state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关卡场景/地块</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asset_s10_01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AssetsSource/S10/Model/asset_s10_01/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Assets/Game/S10/Model/asset_s10_01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目标UI</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asset_s10_02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AssetsSource/S10/UI/asset_s10_02/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Assets/Game/S10/UI/asset_s10_02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检查点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asset_s10_03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AssetsSource/S10/UI/asset_s10_03/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Assets/Game/S10/UI/asset_s10_03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结算星级/奖章</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asset_s10_04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AssetsSource/S10/UI/asset_s10_04/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Assets/Game/S10/UI/asset_s10_04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level_opened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uid,session_id,entry,config_version,stamina_cost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满足开启条件，从首态推进至成功态；校验UI、权威状态、`player_level_state`与奖励/输出一致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S11｜地图、世界与探索系统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地图分区、坐标、迷雾、兴趣点、传送、探索度和区域解锁。”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若该系统被竞品证据与本项目核心循环确认，P0只做地图、世界与探索的最短可玩闭环：进入→操作→权威结算→反馈→持久化。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在留存/深度指标证明需要后，再扩展地图、世界与探索的高级规则、组合内容、便捷操作与运营化能力。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目标：管理地图分区、坐标、迷雾、兴趣点、传送、探索度和区域解锁。｜层级：内容｜适用：RPG、SLG、RTS、生存、冒险、沙盒</w:t>
      </w:r>
    </w:p>
    <w:p>
      <w:r>
        <w:rPr>
          <w:rFonts w:ascii="Hiragino Sans GB" w:hAnsi="Hiragino Sans GB" w:eastAsia="Hiragino Sans GB"/>
          <w:b w:val="0"/>
          <w:i w:val="0"/>
          <w:color w:val="20252B"/>
          <w:sz w:val="21"/>
        </w:rPr>
        <w:t>标准状态：Hidden→Discovered→Visited→Completed/Contested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cfg_map版本匹配；依赖系统、资产Manifest和本地化key可用；当前状态=Hidden。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玩家从pf_world_map进入；客户端提交意图；共享规则按 `Hidden→Discovered→Visited→Completed/Contested`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`player_map_state`/领域账本；广播领域事件；刷新相关UI、红点与任务；上报完成事件。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pf_world_map</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pf_map_tile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pf_poi_marker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pf_fog_layer</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map-rules.ts / fog-system.ts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map-controller.ts / world-map-view.ts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pf_world_map, pf_map_tile, pf_poi_marker, pf_fog_layer</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map-state.service.ts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cfg_map, cfg_region, cfg_poi, cfg_fast_travel</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region_id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区域外键</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explore_threshold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探索完成阈值</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map_enabled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map_rule_version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player_map_state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地图底图/地块</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AssetsSource/S11/Model/asset_s11_01/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Assets/Game/S11/Model/asset_s11_01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迷雾</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AssetsSource/S11/UI/asset_s11_02/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Assets/Game/S11/UI/asset_s11_02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POI图标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AssetsSource/S11/Texture/asset_s11_03/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Assets/Game/S11/Texture/asset_s11_03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路线/传送反馈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AssetsSource/S11/VFX/asset_s11_04/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Assets/Game/S11/VFX/asset_s11_04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map_opened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uid,session_id,entry,config_version,region_id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map_action_submitted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map_result_committed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满足开启条件，从首态推进至成功态；校验UI、权威状态、`player_map_state`与奖励/输出一致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S12｜物理与交互系统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统一碰撞层、刚体、触发器、抓取、推动、破坏和交互提示。”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若该系统被竞品证据与本项目核心循环确认，P0只做物理与交互的最短可玩闭环：进入→操作→权威结算→反馈→持久化。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在留存/深度指标证明需要后，再扩展物理与交互的高级规则、组合内容、便捷操作与运营化能力。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目标：统一碰撞层、刚体、触发器、抓取、推动、破坏和交互提示。｜层级：核心玩法｜适用：平台、沙盒、解谜、生存、动作</w:t>
      </w:r>
    </w:p>
    <w:p>
      <w:r>
        <w:rPr>
          <w:rFonts w:ascii="Hiragino Sans GB" w:hAnsi="Hiragino Sans GB" w:eastAsia="Hiragino Sans GB"/>
          <w:b w:val="0"/>
          <w:i w:val="0"/>
          <w:color w:val="20252B"/>
          <w:sz w:val="21"/>
        </w:rPr>
        <w:t>标准状态：Idle→Detected→Interactable→Interacting→Resolved/Cooldown</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cfg_interaction版本匹配；依赖系统、资产Manifest和本地化key可用；当前状态=Idle。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玩家从pf_interactable_*进入；客户端提交意图；共享规则按 `Idle→Detected→Interactable→Interacting→Resolved/Cooldown`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`player_interaction_state`/领域账本；广播领域事件；刷新相关UI、红点与任务；上报完成事件。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pf_interactable_*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pf_trigger_*</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pf_interaction_prompt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interaction-rules.ts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interaction-controller.ts / prompt-view.ts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pf_interactable_*, pf_trigger_*, pf_interaction_prompt</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interaction-validation.service.ts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cfg_interaction, cfg_collision_layer, cfg_physics_material</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interaction_range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交互距离米</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cfg_interaction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cooldown_ms</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0..3600000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交互冷却</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interaction_enabled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interaction_rule_version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player_interaction_state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交互物状态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AssetsSource/S12/UI/asset_s12_01/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Assets/Game/S12/UI/asset_s12_01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碰撞/触发标记</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AssetsSource/S12/UI/asset_s12_02/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Assets/Game/S12/UI/asset_s12_02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交互提示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AssetsSource/S12/UI/asset_s12_03/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Assets/Game/S12/UI/asset_s12_03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破坏VFX/SFX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AssetsSource/S12/Audio/asset_s12_04/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Assets/Game/S12/Audio/asset_s12_04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interaction_opened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uid,session_id,entry,config_version,interaction_range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interaction_action_submitted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interaction_result_committed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满足开启条件，从首态推进至成功态；校验UI、权威状态、`player_interaction_state`与奖励/输出一致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S13｜节奏与判定系统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按音频时钟生成谱面，处理输入窗口、判定、Combo、评分和回放。”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若该系统被竞品证据与本项目核心循环确认，P0只做节奏与判定的最短可玩闭环：进入→操作→权威结算→反馈→持久化。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在留存/深度指标证明需要后，再扩展节奏与判定的高级规则、组合内容、便捷操作与运营化能力。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目标：按音频时钟生成谱面，处理输入窗口、判定、Combo、评分和回放。｜层级：核心玩法｜适用：音游、节奏战斗、音乐活动</w:t>
      </w:r>
    </w:p>
    <w:p>
      <w:r>
        <w:rPr>
          <w:rFonts w:ascii="Hiragino Sans GB" w:hAnsi="Hiragino Sans GB" w:eastAsia="Hiragino Sans GB"/>
          <w:b w:val="0"/>
          <w:i w:val="0"/>
          <w:color w:val="20252B"/>
          <w:sz w:val="21"/>
        </w:rPr>
        <w:t>标准状态：Preload→Countdown→Playing→Judging→Result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cfg_song版本匹配；依赖系统、资产Manifest和本地化key可用；当前状态=Preload。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玩家从pf_rhythm_lane进入；客户端提交意图；共享规则按 `Preload→Countdown→Playing→Judging→Result`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`player_song_state`/领域账本；广播领域事件；刷新相关UI、红点与任务；上报完成事件。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pf_rhythm_lane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pf_note_*</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pf_judgement_text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pf_combo_hud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chart-schema.ts / judgement.ts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rhythm-controller.ts / lane-view.ts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pf_rhythm_lane, pf_note_*, pf_judgement_text, pf_combo_hud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score-validation.service.ts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cfg_song, cfg_chart, cfg_judgement, cfg_score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bpm</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20..400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120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歌曲BPM</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judge_window_ms</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1..500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80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Perfect窗口</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song_enabled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song_rule_version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player_song_state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音符/轨道</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AssetsSource/S13/UI/asset_s13_01/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Assets/Game/S13/UI/asset_s13_01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判定文字</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AssetsSource/S13/UI/asset_s13_02/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Assets/Game/S13/UI/asset_s13_02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歌曲封面</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AssetsSource/S13/Texture/asset_s13_03/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Assets/Game/S13/Texture/asset_s13_03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音频/打击音效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asset_s13_04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AssetsSource/S13/Audio/asset_s13_04/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Assets/Game/S13/Audio/asset_s13_04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song_opened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uid,session_id,entry,config_version,bpm</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song_action_submitted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song_result_committed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满足开启条件，从首态推进至成功态；校验UI、权威状态、`player_song_state`与奖励/输出一致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S14｜竞速、车辆与赛道系统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处理车辆状态、赛道检查点、圈数、名次、幽灵和违规判定。”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若该系统被竞品证据与本项目核心循环确认，P0只做竞速、车辆与赛道的最短可玩闭环：进入→操作→权威结算→反馈→持久化。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在留存/深度指标证明需要后，再扩展竞速、车辆与赛道的高级规则、组合内容、便捷操作与运营化能力。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目标：处理车辆状态、赛道检查点、圈数、名次、幽灵和违规判定。｜层级：核心玩法｜适用：竞速、载具战斗、体育</w:t>
      </w:r>
    </w:p>
    <w:p>
      <w:r>
        <w:rPr>
          <w:rFonts w:ascii="Hiragino Sans GB" w:hAnsi="Hiragino Sans GB" w:eastAsia="Hiragino Sans GB"/>
          <w:b w:val="0"/>
          <w:i w:val="0"/>
          <w:color w:val="20252B"/>
          <w:sz w:val="21"/>
        </w:rPr>
        <w:t>标准状态：Grid→Countdown→Racing→Checkpoint/Lap→Finish/DNF</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cfg_vehicle版本匹配；依赖系统、资产Manifest和本地化key可用；当前状态=Grid。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玩家从pf_vehicle_*进入；客户端提交意图；共享规则按 `Grid→Countdown→Racing→Checkpoint/Lap→Finish/DNF`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`player_vehicle_state`/领域账本；广播领域事件；刷新相关UI、红点与任务；上报完成事件。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pf_vehicle_*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pf_track_root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pf_checkpoint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pf_race_hud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race-rules.ts / vehicle-model.ts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vehicle-controller.ts / race-hud.ts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pf_vehicle_*, pf_track_root, pf_checkpoint, pf_race_hud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race-validation.service.ts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cfg_vehicle, cfg_track, cfg_race_rule, cfg_upgrade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lap_count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比赛圈数</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cfg_vehicle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checkpoint_count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检查点数量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vehicle_enabled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vehicle_rule_version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player_vehicle_state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车辆模型/涂装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AssetsSource/S14/Model/asset_s14_01/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Assets/Game/S14/Model/asset_s14_01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赛道/环境</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AssetsSource/S14/UI/asset_s14_02/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Assets/Game/S14/UI/asset_s14_02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速度/名次HUD</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AssetsSource/S14/UI/asset_s14_03/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Assets/Game/S14/UI/asset_s14_03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引擎/碰撞音效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AssetsSource/S14/Audio/asset_s14_04/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Assets/Game/S14/Audio/asset_s14_04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vehicle_opened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uid,session_id,entry,config_version,lap_count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vehicle_action_submitted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vehicle_result_committed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满足开启条件，从首态推进至成功态；校验UI、权威状态、`player_vehicle_state`与奖励/输出一致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S15｜生存状态系统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生命、饥饿、口渴、温度、毒圈、伤病和环境风险。”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若该系统被竞品证据与本项目核心循环确认，P0只做生存状态的最短可玩闭环：进入→操作→权威结算→反馈→持久化。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在留存/深度指标证明需要后，再扩展生存状态的高级规则、组合内容、便捷操作与运营化能力。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目标：管理生命、饥饿、口渴、温度、毒圈、伤病和环境风险。｜层级：核心玩法｜适用：生存建造、Battle Royale、搜打撤</w:t>
      </w:r>
    </w:p>
    <w:p>
      <w:r>
        <w:rPr>
          <w:rFonts w:ascii="Hiragino Sans GB" w:hAnsi="Hiragino Sans GB" w:eastAsia="Hiragino Sans GB"/>
          <w:b w:val="0"/>
          <w:i w:val="0"/>
          <w:color w:val="20252B"/>
          <w:sz w:val="21"/>
        </w:rPr>
        <w:t>标准状态：Safe→Threatened→Critical→Downed/Dead→Recovered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cfg_survival版本匹配；依赖系统、资产Manifest和本地化key可用；当前状态=Safe。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玩家从pf_survival_hud进入；客户端提交意图；共享规则按 `Safe→Threatened→Critical→Downed/Dead→Recovered`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`player_survival_state`/领域账本；广播领域事件；刷新相关UI、红点与任务；上报完成事件。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pf_survival_hud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pf_hazard_area</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pf_status_warning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survival-rules.ts / hazard-system.ts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survival-hud.ts / hazard-view.ts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pf_survival_hud, pf_hazard_area, pf_status_warning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survival-state.service.ts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cfg_survival, cfg_hazard, cfg_status_effect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health_max</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生命上限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cfg_survival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hazard_tick_sec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0.1..60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环境伤害周期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survival_enabled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控制S15入口和服务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survival_rule_version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player_survival_state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状态条/警告</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asset_s15_01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AssetsSource/S15/UI/asset_s15_01/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Assets/Game/S15/UI/asset_s15_01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环境风险VFX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asset_s15_02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AssetsSource/S15/VFX/asset_s15_02/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Assets/Game/S15/VFX/asset_s15_02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伤病图标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asset_s15_03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AssetsSource/S15/Texture/asset_s15_03/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Assets/Game/S15/Texture/asset_s15_03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呼吸/心跳/天气声</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asset_s15_04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AssetsSource/S15/UI/asset_s15_04/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Assets/Game/S15/UI/asset_s15_04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survival_opened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uid,session_id,entry,config_version,health_max</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survival_action_submitted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survival_result_committed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满足开启条件，从首态推进至成功态；校验UI、权威状态、`player_survival_state`与奖励/输出一致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S16｜角色与角色档案系统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角色身份、解锁、展示、职业/定位、皮肤和档案信息。”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若该系统被竞品证据与本项目核心循环确认，P0只做角色与角色档案的最短可玩闭环：进入→操作→权威结算→反馈→持久化。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在留存/深度指标证明需要后，再扩展角色与角色档案的高级规则、组合内容、便捷操作与运营化能力。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目标：管理角色身份、解锁、展示、职业/定位、皮肤和档案信息。｜层级：成长｜适用：RPG、卡牌、体育、生活模拟、叙事</w:t>
      </w:r>
    </w:p>
    <w:p>
      <w:r>
        <w:rPr>
          <w:rFonts w:ascii="Hiragino Sans GB" w:hAnsi="Hiragino Sans GB" w:eastAsia="Hiragino Sans GB"/>
          <w:b w:val="0"/>
          <w:i w:val="0"/>
          <w:color w:val="20252B"/>
          <w:sz w:val="21"/>
        </w:rPr>
        <w:t>标准状态：Locked→Owned→Active/Inactive→Retired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cfg_character版本匹配；依赖系统、资产Manifest和本地化key可用；当前状态=Locked。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玩家从pf_character_card进入；客户端提交意图；共享规则按 `Locked→Owned→Active/Inactive→Retired`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`player_character_state`/领域账本；广播领域事件；刷新相关UI、红点与任务；上报完成事件。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pf_character_card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pf_character_model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pf_profile_panel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character-rules.ts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character-controller.ts / character-view.ts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pf_character_card, pf_character_model, pf_profile_panel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character.service.ts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cfg_character, cfg_role, cfg_skin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role_id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角色定位外键</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cfg_character</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解锁条件</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character_enabled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控制S16入口和服务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character_rule_version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player_character_state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角色模型/立绘</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asset_s16_01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AssetsSource/S16/Model/asset_s16_01/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Assets/Game/S16/Model/asset_s16_01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头像</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asset_s16_02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AssetsSource/S16/Texture/asset_s16_02/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Assets/Game/S16/Texture/asset_s16_02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档案页</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asset_s16_03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AssetsSource/S16/UI/asset_s16_03/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Assets/Game/S16/UI/asset_s16_03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皮肤/展示动作</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asset_s16_04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AssetsSource/S16/UI/asset_s16_04/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Assets/Game/S16/UI/asset_s16_04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character_opened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uid,session_id,entry,config_version,role_id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character_action_submitted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character_result_committed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满足开启条件，从首态推进至成功态；校验UI、权威状态、`player_character_state`与奖励/输出一致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S17｜属性、状态与Buff系统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定义基础/派生属性、修正顺序、Buff叠加、免疫、驱散和快照。”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若该系统被竞品证据与本项目核心循环确认，P0只做属性、状态与Buff的最短可玩闭环：进入→操作→权威结算→反馈→持久化。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在留存/深度指标证明需要后，再扩展属性、状态与Buff的高级规则、组合内容、便捷操作与运营化能力。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目标：定义基础/派生属性、修正顺序、Buff叠加、免疫、驱散和快照。｜层级：成长｜适用：RPG、动作、策略、卡牌、体育</w:t>
      </w:r>
    </w:p>
    <w:p>
      <w:r>
        <w:rPr>
          <w:rFonts w:ascii="Hiragino Sans GB" w:hAnsi="Hiragino Sans GB" w:eastAsia="Hiragino Sans GB"/>
          <w:b w:val="0"/>
          <w:i w:val="0"/>
          <w:color w:val="20252B"/>
          <w:sz w:val="21"/>
        </w:rPr>
        <w:t>标准状态：Inactive→Applied→Stacked/Refreshed→Expired/Removed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cfg_stat版本匹配；依赖系统、资产Manifest和本地化key可用；当前状态=Inactive。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玩家从pf_status_icon进入；客户端提交意图；共享规则按 `Inactive→Applied→Stacked/Refreshed→Expired/Removed`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`player_stat_state`/领域账本；广播领域事件；刷新相关UI、红点与任务；上报完成事件。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pf_status_icon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pf_attribute_panel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pf_floating_text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stat-schema.ts / modifier-stack.ts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status-icon-view.ts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pf_status_icon, pf_attribute_panel, pf_floating_text</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stat-validation.service.ts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cfg_stat, cfg_modifier, cfg_status_effect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stack_limit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状态叠层上限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cfg_stat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duration_ms</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0..86400000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0表示永久</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stat_enabled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控制S17入口和服务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stat_rule_version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player_stat_state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属性图标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asset_s17_01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AssetsSource/S17/Texture/asset_s17_01/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Assets/Game/S17/Texture/asset_s17_01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Buff/Debuff图标</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asset_s17_02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AssetsSource/S17/Texture/asset_s17_02/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Assets/Game/S17/Texture/asset_s17_02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飘字</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asset_s17_03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AssetsSource/S17/UI/asset_s17_03/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Assets/Game/S17/UI/asset_s17_03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状态VFX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asset_s17_04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AssetsSource/S17/VFX/asset_s17_04/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Assets/Game/S17/VFX/asset_s17_04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stat_opened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uid,session_id,entry,config_version,stack_limit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stat_action_submitted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stat_result_committed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满足开启条件，从首态推进至成功态；校验UI、权威状态、`player_stat_state`与奖励/输出一致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S18｜技能、天赋与能力系统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技能解锁、升级、目标、冷却、消耗、效果和天赋连接。”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若该系统被竞品证据与本项目核心循环确认，P0只做技能、天赋与能力的最短可玩闭环：进入→操作→权威结算→反馈→持久化。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在留存/深度指标证明需要后，再扩展技能、天赋与能力的高级规则、组合内容、便捷操作与运营化能力。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目标：管理技能解锁、升级、目标、冷却、消耗、效果和天赋连接。｜层级：成长｜适用：RPG、动作、卡牌、塔防、策略</w:t>
      </w:r>
    </w:p>
    <w:p>
      <w:r>
        <w:rPr>
          <w:rFonts w:ascii="Hiragino Sans GB" w:hAnsi="Hiragino Sans GB" w:eastAsia="Hiragino Sans GB"/>
          <w:b w:val="0"/>
          <w:i w:val="0"/>
          <w:color w:val="20252B"/>
          <w:sz w:val="21"/>
        </w:rPr>
        <w:t>标准状态：Locked→Available→Learned→Equipped→Casting→Cooldown</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cfg_skill版本匹配；依赖系统、资产Manifest和本地化key可用；当前状态=Locked。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玩家从pf_skill_button进入；客户端提交意图；共享规则按 `Locked→Available→Learned→Equipped→Casting→Cooldown`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`player_skill_state`/领域账本；广播领域事件；刷新相关UI、红点与任务；上报完成事件。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pf_skill_button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pf_skill_tree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pf_target_preview</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pf_cooldown_mask</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skill-rules.ts / effect-ops.ts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skill-controller.ts / talent-view.ts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pf_skill_button, pf_skill_tree, pf_target_preview, pf_cooldown_mask</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skill.service.ts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cfg_skill, cfg_talent, cfg_skill_curve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cooldown_ms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0..3600000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技能冷却</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cfg_skill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cost_value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资源消耗</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skill_enabled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控制S18入口和服务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skill_rule_version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player_skill_state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技能图标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asset_s18_01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AssetsSource/S18/Texture/asset_s18_01/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Assets/Game/S18/Texture/asset_s18_01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技能树节点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asset_s18_02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AssetsSource/S18/UI/asset_s18_02/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Assets/Game/S18/UI/asset_s18_02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施放/命中VFX</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asset_s18_03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AssetsSource/S18/VFX/asset_s18_03/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Assets/Game/S18/VFX/asset_s18_03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SFX/语音</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asset_s18_04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AssetsSource/S18/Audio/asset_s18_04/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Assets/Game/S18/Audio/asset_s18_04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skill_opened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uid,session_id,entry,config_version,cooldown_ms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skill_action_submitted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skill_result_committed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满足开启条件，从首态推进至成功态；校验UI、权威状态、`player_skill_state`与奖励/输出一致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S19｜装备、武器与配件系统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处理装备槽、穿戴条件、属性、耐久、强化、套装和配件组合。”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若该系统被竞品证据与本项目核心循环确认，P0只做装备、武器与配件的最短可玩闭环：进入→操作→权威结算→反馈→持久化。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在留存/深度指标证明需要后，再扩展装备、武器与配件的高级规则、组合内容、便捷操作与运营化能力。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目标：处理装备槽、穿戴条件、属性、耐久、强化、套装和配件组合。｜层级：成长｜适用：RPG、射击、搜打撤、竞速、体育</w:t>
      </w:r>
    </w:p>
    <w:p>
      <w:r>
        <w:rPr>
          <w:rFonts w:ascii="Hiragino Sans GB" w:hAnsi="Hiragino Sans GB" w:eastAsia="Hiragino Sans GB"/>
          <w:b w:val="0"/>
          <w:i w:val="0"/>
          <w:color w:val="20252B"/>
          <w:sz w:val="21"/>
        </w:rPr>
        <w:t>标准状态：Unowned→Owned→Equipped→Damaged→Upgraded/Dismantled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cfg_equipment版本匹配；依赖系统、资产Manifest和本地化key可用；当前状态=Unowned。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玩家从pf_equipment_slot进入；客户端提交意图；共享规则按 `Unowned→Owned→Equipped→Damaged→Upgraded/Dismantled`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`player_equipment_state`/领域账本；广播领域事件；刷新相关UI、红点与任务；上报完成事件。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pf_equipment_slot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pf_item_detail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pf_compare_panel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equipment-rules.ts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equipment-controller.ts / equipment-view.ts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pf_equipment_slot, pf_item_detail, pf_compare_panel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equipment.service.ts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cfg_equipment, cfg_slot, cfg_set_bonus, cfg_upgrade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slot_type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weapon/armor/...</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weapon</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装备槽</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cfg_equipment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durability_max</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0表示无耐久</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equipment_enabled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控制S19入口和服务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equipment_rule_version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player_equipment_state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装备图标/模型</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asset_s19_01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AssetsSource/S19/Model/asset_s19_01/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Assets/Game/S19/Model/asset_s19_01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槽位</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asset_s19_02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AssetsSource/S19/UI/asset_s19_02/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Assets/Game/S19/UI/asset_s19_02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对比面板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asset_s19_03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AssetsSource/S19/UI/asset_s19_03/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Assets/Game/S19/UI/asset_s19_03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品质/强化特效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asset_s19_04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AssetsSource/S19/VFX/asset_s19_04/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Assets/Game/S19/VFX/asset_s19_04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equipment_opened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uid,session_id,entry,config_version,slot_type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equipment_action_submitted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equipment_result_committed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满足开启条件，从首态推进至成功态；校验UI、权威状态、`player_equipment_state`与奖励/输出一致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S20｜背包、仓库与物品系统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物品堆叠、容量、排序、锁定、使用、转移、过期和服务端库存。”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若该系统被竞品证据与本项目核心循环确认，P0只做背包、仓库与物品的最短可玩闭环：进入→操作→权威结算→反馈→持久化。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在留存/深度指标证明需要后，再扩展背包、仓库与物品的高级规则、组合内容、便捷操作与运营化能力。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目标：管理物品堆叠、容量、排序、锁定、使用、转移、过期和服务端库存。｜层级：经济｜适用：RPG、生存、搜打撤、SLG、生活模拟</w:t>
      </w:r>
    </w:p>
    <w:p>
      <w:r>
        <w:rPr>
          <w:rFonts w:ascii="Hiragino Sans GB" w:hAnsi="Hiragino Sans GB" w:eastAsia="Hiragino Sans GB"/>
          <w:b w:val="0"/>
          <w:i w:val="0"/>
          <w:color w:val="20252B"/>
          <w:sz w:val="21"/>
        </w:rPr>
        <w:t>标准状态：Absent→Stored→Reserved/Equipped→Consumed/Expired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cfg_item版本匹配；依赖系统、资产Manifest和本地化key可用；当前状态=Absent。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玩家从pf_inventory_grid进入；客户端提交意图；共享规则按 `Absent→Stored→Reserved/Equipped→Consumed/Expired`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`player_item_state`/领域账本；广播领域事件；刷新相关UI、红点与任务；上报完成事件。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pf_inventory_grid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pf_item_cell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pf_item_detail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pf_storage_tab</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item-schema.ts / inventory-rules.ts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inventory-controller.ts / item-view.ts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pf_inventory_grid, pf_item_cell, pf_item_detail, pf_storage_tab</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inventory.service.ts / inventory.repository.ts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cfg_item, cfg_inventory, cfg_item_use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stack_limit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99</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堆叠上限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cfg_item</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expire_sec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0表示不过期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item_enabled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控制S20入口和服务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item_rule_version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player_item_state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物品图标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asset_s20_01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AssetsSource/S20/Texture/asset_s20_01/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Assets/Game/S20/Texture/asset_s20_01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格子/分类页签</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asset_s20_02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AssetsSource/S20/UI/asset_s20_02/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Assets/Game/S20/UI/asset_s20_02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品质框</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asset_s20_03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AssetsSource/S20/UI/asset_s20_03/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Assets/Game/S20/UI/asset_s20_03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获得/消耗反馈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asset_s20_04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AssetsSource/S20/VFX/asset_s20_04/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Assets/Game/S20/VFX/asset_s20_04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item_opened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uid,session_id,entry,config_version,stack_limit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item_action_submitted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item_result_committed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满足开启条件，从首态推进至成功态；校验UI、权威状态、`player_item_state`与奖励/输出一致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S21｜掉落、战利品与奖励池系统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按来源、条件、权重、保底和上限生成可审计奖励。”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若该系统被竞品证据与本项目核心循环确认，P0只做掉落、战利品与奖励池的最短可玩闭环：进入→操作→权威结算→反馈→持久化。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在留存/深度指标证明需要后，再扩展掉落、战利品与奖励池的高级规则、组合内容、便捷操作与运营化能力。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目标：按来源、条件、权重、保底和上限生成可审计奖励。｜层级：经济｜适用：战斗、RPG、搜打撤、Roguelite、放置</w:t>
      </w:r>
    </w:p>
    <w:p>
      <w:r>
        <w:rPr>
          <w:rFonts w:ascii="Hiragino Sans GB" w:hAnsi="Hiragino Sans GB" w:eastAsia="Hiragino Sans GB"/>
          <w:b w:val="0"/>
          <w:i w:val="0"/>
          <w:color w:val="20252B"/>
          <w:sz w:val="21"/>
        </w:rPr>
        <w:t>标准状态：Eligible→Rolling→Resolved→Granted/Stored/Discarded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cfg_loot_pool版本匹配；依赖系统、资产Manifest和本地化key可用；当前状态=Eligible。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玩家从pf_loot_drop进入；客户端提交意图；共享规则按 `Eligible→Rolling→Resolved→Granted/Stored/Discarded`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`player_loot_pool_state`/领域账本；广播领域事件；刷新相关UI、红点与任务；上报完成事件。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pf_loot_drop</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pf_reward_item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pf_pickup_prompt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loot-rules.ts / loot-pool.ts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loot-view.ts / pickup-view.ts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pf_loot_drop, pf_reward_item, pf_pickup_prompt</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loot.service.ts / reward-ledger.ts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cfg_loot_pool, cfg_reward, cfg_pity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weight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掉落权重</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cfg_loot_pool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pity_count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保底次数</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loot_pool_enabled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loot_pool_rule_version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player_loot_pool_state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地面掉落物</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AssetsSource/S21/UI/asset_s21_01/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Assets/Game/S21/UI/asset_s21_01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奖励图标</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AssetsSource/S21/Texture/asset_s21_02/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Assets/Game/S21/Texture/asset_s21_02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品质光柱</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AssetsSource/S21/VFX/asset_s21_03/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Assets/Game/S21/VFX/asset_s21_03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拾取/结算VFX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AssetsSource/S21/VFX/asset_s21_04/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Assets/Game/S21/VFX/asset_s21_04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loot_pool_opened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uid,session_id,entry,config_version,weight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loot_pool_action_submitted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loot_pool_result_committed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满足开启条件，从首态推进至成功态；校验UI、权威状态、`player_loot_pool_state`与奖励/输出一致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S22｜制作、合成与分解系统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校验配方、材料、工作台、时间，原子扣除并发放产物。”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若该系统被竞品证据与本项目核心循环确认，P0只做制作、合成与分解的最短可玩闭环：进入→操作→权威结算→反馈→持久化。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在留存/深度指标证明需要后，再扩展制作、合成与分解的高级规则、组合内容、便捷操作与运营化能力。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目标：校验配方、材料、工作台、时间，原子扣除并发放产物。｜层级：经济｜适用：生存、RPG、经营、沙盒</w:t>
      </w:r>
    </w:p>
    <w:p>
      <w:r>
        <w:rPr>
          <w:rFonts w:ascii="Hiragino Sans GB" w:hAnsi="Hiragino Sans GB" w:eastAsia="Hiragino Sans GB"/>
          <w:b w:val="0"/>
          <w:i w:val="0"/>
          <w:color w:val="20252B"/>
          <w:sz w:val="21"/>
        </w:rPr>
        <w:t>标准状态：Unavailable→Craftable→Queued→Producing→Completed/Cancelled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cfg_recipe版本匹配；依赖系统、资产Manifest和本地化key可用；当前状态=Unavailable。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玩家从pf_craft_station进入；客户端提交意图；共享规则按 `Unavailable→Craftable→Queued→Producing→Completed/Cancelled`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`player_recipe_state`/领域账本；广播领域事件；刷新相关UI、红点与任务；上报完成事件。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pf_craft_station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pf_recipe_item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pf_craft_queue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recipe-rules.ts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craft-controller.ts / recipe-view.ts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pf_craft_station, pf_recipe_item, pf_craft_queue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craft.service.ts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cfg_recipe, cfg_material, cfg_craft_station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craft_time_sec</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0..30d</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制作耗时</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cfg_recipe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output_count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产出数量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recipe_enabled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recipe_rule_version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player_recipe_state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配方图标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AssetsSource/S22/Texture/asset_s22_01/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Assets/Game/S22/Texture/asset_s22_01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制作台</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AssetsSource/S22/UI/asset_s22_02/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Assets/Game/S22/UI/asset_s22_02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队列/进度条</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AssetsSource/S22/UI/asset_s22_03/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Assets/Game/S22/UI/asset_s22_03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完成反馈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AssetsSource/S22/VFX/asset_s22_04/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Assets/Game/S22/VFX/asset_s22_04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recipe_opened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uid,session_id,entry,config_version,craft_time_sec</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recipe_action_submitted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recipe_result_committed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满足开启条件，从首态推进至成功态；校验UI、权威状态、`player_recipe_state`与奖励/输出一致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S23｜任务、目标与成就系统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使用受限条件表达式追踪目标、阶段、领取、失败和成就。”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若该系统被竞品证据与本项目核心循环确认，P0只做任务、目标与成就的最短可玩闭环：进入→操作→权威结算→反馈→持久化。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在留存/深度指标证明需要后，再扩展任务、目标与成就的高级规则、组合内容、便捷操作与运营化能力。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目标：使用受限条件表达式追踪目标、阶段、领取、失败和成就。｜层级：内容/成长｜适用：几乎所有长线游戏</w:t>
      </w:r>
    </w:p>
    <w:p>
      <w:r>
        <w:rPr>
          <w:rFonts w:ascii="Hiragino Sans GB" w:hAnsi="Hiragino Sans GB" w:eastAsia="Hiragino Sans GB"/>
          <w:b w:val="0"/>
          <w:i w:val="0"/>
          <w:color w:val="20252B"/>
          <w:sz w:val="21"/>
        </w:rPr>
        <w:t>标准状态：Locked→Available→Active→Completed→Claimed/Expired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cfg_task版本匹配；依赖系统、资产Manifest和本地化key可用；当前状态=Locked。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玩家从pf_task_item进入；客户端提交意图；共享规则按 `Locked→Available→Active→Completed→Claimed/Expired`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`player_task_state`/领域账本；广播领域事件；刷新相关UI、红点与任务；上报完成事件。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pf_task_item</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pf_objective_tracker</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pf_achievement_badge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condition-evaluator.ts / objective-rules.ts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task-controller.ts / task-view.ts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pf_task_item, pf_objective_tracker, pf_achievement_badge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task.service.ts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cfg_task, cfg_achievement, cfg_condition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objective_count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目标数量</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cfg_task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expire_at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timestamp</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nullable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null</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过期时间</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task_enabled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task_rule_version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player_task_state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任务卡/图标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AssetsSource/S23/Texture/asset_s23_01/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Assets/Game/S23/Texture/asset_s23_01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追踪HUD</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AssetsSource/S23/UI/asset_s23_02/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Assets/Game/S23/UI/asset_s23_02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成就徽章</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AssetsSource/S23/UI/asset_s23_03/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Assets/Game/S23/UI/asset_s23_03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完成/领取反馈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asset_s23_04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AssetsSource/S23/VFX/asset_s23_04/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Assets/Game/S23/VFX/asset_s23_04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task_opened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uid,session_id,entry,config_version,objective_count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task_action_submitted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task_result_committed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满足开启条件，从首态推进至成功态；校验UI、权威状态、`player_task_state`与奖励/输出一致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S24｜收藏、图鉴与画廊系统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记录发现/拥有/完成度，管理图鉴条目、CG、音乐与奖励。”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若该系统被竞品证据与本项目核心循环确认，P0只做收藏、图鉴与画廊的最短可玩闭环：进入→操作→权威结算→反馈→持久化。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在留存/深度指标证明需要后，再扩展收藏、图鉴与画廊的高级规则、组合内容、便捷操作与运营化能力。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目标：记录发现/拥有/完成度，管理图鉴条目、CG、音乐与奖励。｜层级：成长｜适用：收集、RPG、视觉小说、解谜、休闲</w:t>
      </w:r>
    </w:p>
    <w:p>
      <w:r>
        <w:rPr>
          <w:rFonts w:ascii="Hiragino Sans GB" w:hAnsi="Hiragino Sans GB" w:eastAsia="Hiragino Sans GB"/>
          <w:b w:val="0"/>
          <w:i w:val="0"/>
          <w:color w:val="20252B"/>
          <w:sz w:val="21"/>
        </w:rPr>
        <w:t>标准状态：Unknown→Discovered→Owned→Completed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cfg_collection版本匹配；依赖系统、资产Manifest和本地化key可用；当前状态=Unknown。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玩家从pf_collection_grid进入；客户端提交意图；共享规则按 `Unknown→Discovered→Owned→Completed`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`player_collection_state`/领域账本；广播领域事件；刷新相关UI、红点与任务；上报完成事件。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pf_collection_grid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pf_codex_entry</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pf_gallery_viewer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collection-rules.ts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collection-controller.ts / gallery-view.ts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pf_collection_grid, pf_codex_entry, pf_gallery_viewer</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collection.service.ts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cfg_collection, cfg_codex, cfg_collection_reward</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collection_group</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1..64</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default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图鉴分组</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cfg_collection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completion_weight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完成度权重</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collection_enabled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collection_rule_version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player_collection_state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图鉴缩略图</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AssetsSource/S24/Texture/asset_s24_01/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Assets/Game/S24/Texture/asset_s24_01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未解锁遮罩</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AssetsSource/S24/UI/asset_s24_02/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Assets/Game/S24/UI/asset_s24_02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CG/音乐封面</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AssetsSource/S24/Audio/asset_s24_03/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Assets/Game/S24/Audio/asset_s24_03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完成度徽章</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AssetsSource/S24/UI/asset_s24_04/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Assets/Game/S24/UI/asset_s24_04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collection_opened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uid,session_id,entry,config_version,collection_group</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collection_action_submitted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collection_result_committed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满足开启条件，从首态推进至成功态；校验UI、权威状态、`player_collection_state`与奖励/输出一致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S25｜货币、资源与经济系统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定义货币来源、存储、转换、上限、消耗、账本和通胀监控。”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若该系统被竞品证据与本项目核心循环确认，P0只做货币、资源与经济的最短可玩闭环：进入→操作→权威结算→反馈→持久化。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在留存/深度指标证明需要后，再扩展货币、资源与经济的高级规则、组合内容、便捷操作与运营化能力。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目标：定义货币来源、存储、转换、上限、消耗、账本和通胀监控。｜层级：经济｜适用：所有带成长/经营/商业化的游戏</w:t>
      </w:r>
    </w:p>
    <w:p>
      <w:r>
        <w:rPr>
          <w:rFonts w:ascii="Hiragino Sans GB" w:hAnsi="Hiragino Sans GB" w:eastAsia="Hiragino Sans GB"/>
          <w:b w:val="0"/>
          <w:i w:val="0"/>
          <w:color w:val="20252B"/>
          <w:sz w:val="21"/>
        </w:rPr>
        <w:t>标准状态：Source→Wallet/Ledger→Conversion→Sink→Audit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cfg_currency版本匹配；依赖系统、资产Manifest和本地化key可用；当前状态=Source。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玩家从pf_currency_icon进入；客户端提交意图；共享规则按 `Source→Wallet/Ledger→Conversion→Sink→Audit`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`player_currency_state`/领域账本；广播领域事件；刷新相关UI、红点与任务；上报完成事件。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pf_currency_icon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pf_wallet_hud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pf_cost_item</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currency-rules.ts / economy-model.ts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wallet-view.ts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pf_currency_icon, pf_wallet_hud, pf_cost_item</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wallet.service.ts / ledger.repository.ts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cfg_currency, cfg_economy, cfg_exchange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wallet_cap</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int64</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0..9e18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0表示无上限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cfg_currency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daily_source_cap</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int64</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0..9e18</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每日产出上限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currency_enabled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控制S25入口和服务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currency_rule_version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player_currency_state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货币图标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asset_s25_01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AssetsSource/S25/Texture/asset_s25_01/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Assets/Game/S25/Texture/asset_s25_01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数字/成本组件</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asset_s25_02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AssetsSource/S25/UI/asset_s25_02/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Assets/Game/S25/UI/asset_s25_02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获得/消耗VFX</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asset_s25_03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AssetsSource/S25/VFX/asset_s25_03/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Assets/Game/S25/VFX/asset_s25_03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资源音效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asset_s25_04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AssetsSource/S25/Audio/asset_s25_04/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Assets/Game/S25/Audio/asset_s25_04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currency_opened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uid,session_id,entry,config_version,wallet_cap</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currency_action_submitted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currency_result_committed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满足开启条件，从首态推进至成功态；校验UI、权威状态、`player_currency_state`与奖励/输出一致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S26｜商店、交易与拍卖系统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商品目录、价格、库存、限购、订单、验签、交付、退款和玩家交易。”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若该系统被竞品证据与本项目核心循环确认，P0只做商店、交易与拍卖的最短可玩闭环：进入→操作→权威结算→反馈→持久化。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在留存/深度指标证明需要后，再扩展商店、交易与拍卖的高级规则、组合内容、便捷操作与运营化能力。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目标：管理商品目录、价格、库存、限购、订单、验签、交付、退款和玩家交易。｜层级：经济/商业化｜适用：RPG、SLG、MMO、经营、搜打撤</w:t>
      </w:r>
    </w:p>
    <w:p>
      <w:r>
        <w:rPr>
          <w:rFonts w:ascii="Hiragino Sans GB" w:hAnsi="Hiragino Sans GB" w:eastAsia="Hiragino Sans GB"/>
          <w:b w:val="0"/>
          <w:i w:val="0"/>
          <w:color w:val="20252B"/>
          <w:sz w:val="21"/>
        </w:rPr>
        <w:t>标准状态：Listed→Available→Ordering→Paid/Verified→Granted/Refunded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cfg_product版本匹配；依赖系统、资产Manifest和本地化key可用；当前状态=Listed。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玩家从pf_store_page进入；客户端提交意图；共享规则按 `Listed→Available→Ordering→Paid/Verified→Granted/Refunded`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`player_product_state`/领域账本；广播领域事件；刷新相关UI、红点与任务；上报完成事件。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pf_store_page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pf_product_card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pf_trade_order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catalog-rules.ts / trade-rules.ts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store-controller.ts / product-view.ts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pf_store_page, pf_product_card, pf_trade_order</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commerce.service.ts / trade.service.ts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cfg_product, cfg_store, cfg_trade_rule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price_currency_id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价格货币</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purchase_limit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0表示不限购</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控制S26入口和服务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player_product_state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商品图/卡片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asset_s26_01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AssetsSource/S26/UI/asset_s26_01/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Assets/Game/S26/UI/asset_s26_01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价格/折扣标签</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asset_s26_02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AssetsSource/S26/UI/asset_s26_02/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Assets/Game/S26/UI/asset_s26_02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购买确认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asset_s26_03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AssetsSource/S26/UI/asset_s26_03/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Assets/Game/S26/UI/asset_s26_03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交付反馈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asset_s26_04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AssetsSource/S26/VFX/asset_s26_04/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Assets/Game/S26/VFX/asset_s26_04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product_opened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uid,session_id,entry,config_version,price_currency_id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product_action_submitted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product_result_committed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满足开启条件，从首态推进至成功态；校验UI、权威状态、`player_product_state`与奖励/输出一致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S27｜抽取、卡池与保底系统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处理卡池条目、权重、保底、重复转化、演出和可审计结果。”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若该系统被竞品证据与本项目核心循环确认，P0只做抽取、卡池与保底的最短可玩闭环：进入→操作→权威结算→反馈→持久化。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在留存/深度指标证明需要后，再扩展抽取、卡池与保底的高级规则、组合内容、便捷操作与运营化能力。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目标：处理卡池条目、权重、保底、重复转化、演出和可审计结果。｜层级：商业化/成长｜适用：Gacha、卡牌、角色收集</w:t>
      </w:r>
    </w:p>
    <w:p>
      <w:r>
        <w:rPr>
          <w:rFonts w:ascii="Hiragino Sans GB" w:hAnsi="Hiragino Sans GB" w:eastAsia="Hiragino Sans GB"/>
          <w:b w:val="0"/>
          <w:i w:val="0"/>
          <w:color w:val="20252B"/>
          <w:sz w:val="21"/>
        </w:rPr>
        <w:t>标准状态：Closed→Open→Requesting→Resolved→Revealing→Granted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cfg_gacha_pool版本匹配；依赖系统、资产Manifest和本地化key可用；当前状态=Closed。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玩家从pf_gacha_banner进入；客户端提交意图；共享规则按 `Closed→Open→Requesting→Resolved→Revealing→Granted`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`player_gacha_pool_state`/领域账本；广播领域事件；刷新相关UI、红点与任务；上报完成事件。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pf_gacha_banner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pf_reveal_stage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pf_result_card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gacha-rules.ts / pity-state.ts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gacha-controller.ts / reveal-view.ts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pf_gacha_banner, pf_reveal_stage, pf_result_card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gacha.service.ts / gacha-ledger.ts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cfg_gacha_pool, cfg_pity, cfg_duplicate_convert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draw_weight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抽取权重</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cfg_gacha_pool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hard_pity</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硬保底次数</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gacha_pool_enabled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控制S27入口和服务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gacha_pool_rule_version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player_gacha_pool_state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卡池Banner</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asset_s27_01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AssetsSource/S27/Texture/asset_s27_01/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Assets/Game/S27/Texture/asset_s27_01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抽取演出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asset_s27_02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AssetsSource/S27/UI/asset_s27_02/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Assets/Game/S27/UI/asset_s27_02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结果卡</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asset_s27_03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AssetsSource/S27/UI/asset_s27_03/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Assets/Game/S27/UI/asset_s27_03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稀有度VFX/SFX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asset_s27_04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AssetsSource/S27/Audio/asset_s27_04/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Assets/Game/S27/Audio/asset_s27_04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gacha_pool_opened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uid,session_id,entry,config_version,draw_weight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gacha_pool_action_submitted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gacha_pool_result_committed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满足开启条件，从首态推进至成功态；校验UI、权威状态、`player_gacha_pool_state`与奖励/输出一致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S28｜养成、升级与突破系统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处理等级、经验、材料、突破、升星和曲线验证。”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若该系统被竞品证据与本项目核心循环确认，P0只做养成、升级与突破的最短可玩闭环：进入→操作→权威结算→反馈→持久化。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在留存/深度指标证明需要后，再扩展养成、升级与突破的高级规则、组合内容、便捷操作与运营化能力。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目标：处理等级、经验、材料、突破、升星和曲线验证。｜层级：成长｜适用：RPG、卡牌、放置、塔防、经营</w:t>
      </w:r>
    </w:p>
    <w:p>
      <w:r>
        <w:rPr>
          <w:rFonts w:ascii="Hiragino Sans GB" w:hAnsi="Hiragino Sans GB" w:eastAsia="Hiragino Sans GB"/>
          <w:b w:val="0"/>
          <w:i w:val="0"/>
          <w:color w:val="20252B"/>
          <w:sz w:val="21"/>
        </w:rPr>
        <w:t>标准状态：Locked→Upgradeable→Upgrading→LevelCap→Breakthrough</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cfg_level_curve版本匹配；依赖系统、资产Manifest和本地化key可用；当前状态=Locked。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玩家从pf_progress_bar进入；客户端提交意图；共享规则按 `Locked→Upgradeable→Upgrading→LevelCap→Breakthrough`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`player_level_curve_state`/领域账本；广播领域事件；刷新相关UI、红点与任务；上报完成事件。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pf_progress_bar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pf_upgrade_panel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pf_breakthrough_node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progression-rules.ts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upgrade-controller.ts / progress-view.ts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pf_progress_bar, pf_upgrade_panel, pf_breakthrough_node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progression.service.ts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cfg_level_curve, cfg_upgrade_cost, cfg_breakthrough</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level_cap</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等级上限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cfg_level_curve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exp_curve_id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经验曲线外键</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level_curve_enabled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控制S28入口和服务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level_curve_rule_version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player_level_curve_state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经验条</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asset_s28_01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AssetsSource/S28/UI/asset_s28_01/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Assets/Game/S28/UI/asset_s28_01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升级面板</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asset_s28_02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AssetsSource/S28/UI/asset_s28_02/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Assets/Game/S28/UI/asset_s28_02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突破节点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asset_s28_03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AssetsSource/S28/UI/asset_s28_03/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Assets/Game/S28/UI/asset_s28_03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升级VFX/SFX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asset_s28_04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AssetsSource/S28/Audio/asset_s28_04/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Assets/Game/S28/Audio/asset_s28_04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level_curve_opened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uid,session_id,entry,config_version,level_cap</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level_curve_action_submitted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level_curve_result_committed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满足开启条件，从首态推进至成功态；校验UI、权威状态、`player_level_curve_state`与奖励/输出一致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S29｜建筑、城建与空间规划系统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地块、放置、旋转、占地、建造队列、升级、拆除和相邻效果。”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若该系统被竞品证据与本项目核心循环确认，P0只做建筑、城建与空间规划的最短可玩闭环：进入→操作→权威结算→反馈→持久化。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在留存/深度指标证明需要后，再扩展建筑、城建与空间规划的高级规则、组合内容、便捷操作与运营化能力。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目标：管理地块、放置、旋转、占地、建造队列、升级、拆除和相邻效果。｜层级：核心/内容｜适用：SLG、模拟经营、城市建造、生存、沙盒</w:t>
      </w:r>
    </w:p>
    <w:p>
      <w:r>
        <w:rPr>
          <w:rFonts w:ascii="Hiragino Sans GB" w:hAnsi="Hiragino Sans GB" w:eastAsia="Hiragino Sans GB"/>
          <w:b w:val="0"/>
          <w:i w:val="0"/>
          <w:color w:val="20252B"/>
          <w:sz w:val="21"/>
        </w:rPr>
        <w:t>标准状态：Locked→Preview→Placed→Building→Active→Upgrading/Demolished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cfg_building版本匹配；依赖系统、资产Manifest和本地化key可用；当前状态=Locked。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玩家从pf_building_*进入；客户端提交意图；共享规则按 `Locked→Preview→Placed→Building→Active→Upgrading/Demolished`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`player_building_state`/领域账本；广播领域事件；刷新相关UI、红点与任务；上报完成事件。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pf_building_*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pf_build_grid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pf_placement_ghost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pf_build_queue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placement-rules.ts / building-system.ts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build-controller.ts / placement-view.ts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pf_building_*, pf_build_grid, pf_placement_ghost, pf_build_queue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city.service.ts / build-queue.service.ts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cfg_building, cfg_footprint, cfg_build_rule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footprint_w</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占地宽</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cfg_building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build_time_sec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0..30d</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建造耗时</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building_enabled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控制S29入口和服务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building_rule_version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player_building_state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建筑模型/状态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asset_s29_01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AssetsSource/S29/Model/asset_s29_01/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Assets/Game/S29/Model/asset_s29_01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地块/网格</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asset_s29_02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FBX/glTF；米制、Y-Up；Pivot按交互点；LOD0/1/2；纹理2K上限并提供移动档</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AssetsSource/S29/Model/asset_s29_02/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Assets/Game/S29/Model/asset_s29_02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放置幽灵</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asset_s29_03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AssetsSource/S29/UI/asset_s29_03/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Assets/Game/S29/UI/asset_s29_03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建造/升级VFX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asset_s29_04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AssetsSource/S29/VFX/asset_s29_04/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Assets/Game/S29/VFX/asset_s29_04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building_opened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uid,session_id,entry,config_version,footprint_w</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building_action_submitted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building_result_committed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满足开启条件，从首态推进至成功态；校验UI、权威状态、`player_building_state`与奖励/输出一致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S30｜生产、订单与离线收益系统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按设施、员工、配方、时间计算生产、订单、库存和离线结算。”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若该系统被竞品证据与本项目核心循环确认，P0只做生产、订单与离线收益的最短可玩闭环：进入→操作→权威结算→反馈→持久化。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在留存/深度指标证明需要后，再扩展生产、订单与离线收益的高级规则、组合内容、便捷操作与运营化能力。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目标：按设施、员工、配方、时间计算生产、订单、库存和离线结算。｜层级：经济｜适用：经营、SLG、Idle、城市建造</w:t>
      </w:r>
    </w:p>
    <w:p>
      <w:r>
        <w:rPr>
          <w:rFonts w:ascii="Hiragino Sans GB" w:hAnsi="Hiragino Sans GB" w:eastAsia="Hiragino Sans GB"/>
          <w:b w:val="0"/>
          <w:i w:val="0"/>
          <w:color w:val="20252B"/>
          <w:sz w:val="21"/>
        </w:rPr>
        <w:t>标准状态：Idle→Queued→Producing→Blocked/Completed→Collected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cfg_production版本匹配；依赖系统、资产Manifest和本地化key可用；当前状态=Idle。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玩家从pf_production_slot进入；客户端提交意图；共享规则按 `Idle→Queued→Producing→Blocked/Completed→Collected`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`player_production_state`/领域账本；广播领域事件；刷新相关UI、红点与任务；上报完成事件。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pf_production_slot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pf_order_card</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pf_offline_reward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production-rules.ts / offline-yield.ts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production-controller.ts / order-view.ts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pf_production_slot, pf_order_card, pf_offline_reward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production.service.ts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cfg_production, cfg_order, cfg_offline_yield</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cycle_sec</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1..30d</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60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生产周期</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offline_cap_sec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0..30d</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28800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离线收益上限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production_enabled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控制S30入口和服务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production_rule_version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player_production_state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生产设施状态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asset_s30_01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AssetsSource/S30/UI/asset_s30_01/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Assets/Game/S30/UI/asset_s30_01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订单卡</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asset_s30_02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AssetsSource/S30/UI/asset_s30_02/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Assets/Game/S30/UI/asset_s30_02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进度/收取按钮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asset_s30_03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AssetsSource/S30/UI/asset_s30_03/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Assets/Game/S30/UI/asset_s30_03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离线结算页</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asset_s30_04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AssetsSource/S30/UI/asset_s30_04/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Assets/Game/S30/UI/asset_s30_04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production_opened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uid,session_id,entry,config_version,cycle_sec</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production_action_submitted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production_result_committed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满足开启条件，从首态推进至成功态；校验UI、权威状态、`player_production_state`与奖励/输出一致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S31｜科技树、政策与研究系统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研究节点、前置、队列、资源消耗、效果和重置。”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若该系统被竞品证据与本项目核心循环确认，P0只做科技树、政策与研究的最短可玩闭环：进入→操作→权威结算→反馈→持久化。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在留存/深度指标证明需要后，再扩展科技树、政策与研究的高级规则、组合内容、便捷操作与运营化能力。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目标：管理研究节点、前置、队列、资源消耗、效果和重置。｜层级：成长｜适用：SLG、RTS、4X、经营、城市建造</w:t>
      </w:r>
    </w:p>
    <w:p>
      <w:r>
        <w:rPr>
          <w:rFonts w:ascii="Hiragino Sans GB" w:hAnsi="Hiragino Sans GB" w:eastAsia="Hiragino Sans GB"/>
          <w:b w:val="0"/>
          <w:i w:val="0"/>
          <w:color w:val="20252B"/>
          <w:sz w:val="21"/>
        </w:rPr>
        <w:t>标准状态：Locked→Available→Researching→Completed/Deprecated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cfg_tech版本匹配；依赖系统、资产Manifest和本地化key可用；当前状态=Locked。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玩家从pf_tech_tree进入；客户端提交意图；共享规则按 `Locked→Available→Researching→Completed/Deprecated`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`player_tech_state`/领域账本；广播领域事件；刷新相关UI、红点与任务；上报完成事件。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pf_tech_tree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pf_tech_node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pf_research_queue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tech-tree-rules.ts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research-controller.ts / tech-tree-view.ts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pf_tech_tree, pf_tech_node, pf_research_queue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research.service.ts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cfg_tech, cfg_policy, cfg_research_cost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research_time_sec</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0..90d</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研究耗时</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cfg_tech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prerequisite_node_id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前置节点</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tech_enabled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tech_rule_version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player_tech_state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科技节点图标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AssetsSource/S31/Texture/asset_s31_01/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Assets/Game/S31/Texture/asset_s31_01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连线/状态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AssetsSource/S31/UI/asset_s31_02/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Assets/Game/S31/UI/asset_s31_02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研究队列</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AssetsSource/S31/UI/asset_s31_03/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Assets/Game/S31/UI/asset_s31_03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完成反馈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AssetsSource/S31/VFX/asset_s31_04/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Assets/Game/S31/VFX/asset_s31_04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tech_opened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uid,session_id,entry,config_version,research_time_sec</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tech_action_submitted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tech_result_committed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满足开启条件，从首态推进至成功态；校验UI、权威状态、`player_tech_state`与奖励/输出一致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S32｜军队、战争与领土系统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部队编成、行军、驻防、侦察、战报、领土和战争状态。”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若该系统被竞品证据与本项目核心循环确认，P0只做军队、战争与领土的最短可玩闭环：进入→操作→权威结算→反馈→持久化。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在留存/深度指标证明需要后，再扩展军队、战争与领土的高级规则、组合内容、便捷操作与运营化能力。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目标：管理部队编成、行军、驻防、侦察、战报、领土和战争状态。｜层级：核心/内容｜适用：SLG、4X、RTS、MMO</w:t>
      </w:r>
    </w:p>
    <w:p>
      <w:r>
        <w:rPr>
          <w:rFonts w:ascii="Hiragino Sans GB" w:hAnsi="Hiragino Sans GB" w:eastAsia="Hiragino Sans GB"/>
          <w:b w:val="0"/>
          <w:i w:val="0"/>
          <w:color w:val="20252B"/>
          <w:sz w:val="21"/>
        </w:rPr>
        <w:t>标准状态：Assembling→Marching→Scouting/Fighting→Occupying→Returning</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cfg_troop版本匹配；依赖系统、资产Manifest和本地化key可用；当前状态=Assembling。</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玩家从pf_army_marker进入；客户端提交意图；共享规则按 `Assembling→Marching→Scouting/Fighting→Occupying→Returning`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`player_troop_state`/领域账本；广播领域事件；刷新相关UI、红点与任务；上报完成事件。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pf_army_marker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pf_march_line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pf_territory_tile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pf_battle_report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army-rules.ts / territory-rules.ts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army-controller.ts / march-view.ts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pf_army_marker, pf_march_line, pf_territory_tile, pf_battle_report</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war.service.ts / battle-report.service.ts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cfg_troop, cfg_march, cfg_war_rule, cfg_territory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march_speed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0.01..1000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行军速度</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cfg_troop</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troop_cap</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部队上限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troop_enabled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troop_rule_version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player_troop_state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兵种/军团标识</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AssetsSource/S32/UI/asset_s32_01/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Assets/Game/S32/UI/asset_s32_01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行军线</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AssetsSource/S32/UI/asset_s32_02/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Assets/Game/S32/UI/asset_s32_02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领土边界</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AssetsSource/S32/UI/asset_s32_03/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Assets/Game/S32/UI/asset_s32_03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战报图标</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AssetsSource/S32/Texture/asset_s32_04/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Assets/Game/S32/Texture/asset_s32_04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troop_opened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uid,session_id,entry,config_version,march_speed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troop_action_submitted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troop_result_committed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满足开启条件，从首态推进至成功态；校验UI、权威状态、`player_troop_state`与奖励/输出一致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S33｜联盟、公会与外交系统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组织、职位、权限、申请、捐献、科技、外交关系和组织事件。”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若该系统被竞品证据与本项目核心循环确认，P0只做联盟、公会与外交的最短可玩闭环：进入→操作→权威结算→反馈→持久化。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在留存/深度指标证明需要后，再扩展联盟、公会与外交的高级规则、组合内容、便捷操作与运营化能力。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目标：管理组织、职位、权限、申请、捐献、科技、外交关系和组织事件。｜层级：社交｜适用：SLG、MMO、4X、生活模拟</w:t>
      </w:r>
    </w:p>
    <w:p>
      <w:r>
        <w:rPr>
          <w:rFonts w:ascii="Hiragino Sans GB" w:hAnsi="Hiragino Sans GB" w:eastAsia="Hiragino Sans GB"/>
          <w:b w:val="0"/>
          <w:i w:val="0"/>
          <w:color w:val="20252B"/>
          <w:sz w:val="21"/>
        </w:rPr>
        <w:t>标准状态：None→Applying→Member→Officer/Leader→Left/Kicked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cfg_guild版本匹配；依赖系统、资产Manifest和本地化key可用；当前状态=None。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玩家从pf_guild_badge进入；客户端提交意图；共享规则按 `None→Applying→Member→Officer/Leader→Left/Kicked`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`player_guild_state`/领域账本；广播领域事件；刷新相关UI、红点与任务；上报完成事件。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pf_guild_badge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pf_member_item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pf_diplomacy_relation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guild-rules.ts / permission.ts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guild-controller.ts / diplomacy-view.ts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pf_guild_badge, pf_member_item, pf_diplomacy_relation</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guild.service.ts / diplomacy.service.ts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cfg_guild, cfg_guild_role, cfg_diplomacy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member_cap</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1..1e6</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成员上限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cfg_guild</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permission_mask</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uint64</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0..2^64-1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权限位</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guild_enabled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guild_rule_version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player_guild_state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徽章/旗帜</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AssetsSource/S33/UI/asset_s33_01/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Assets/Game/S33/UI/asset_s33_01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成员列表</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AssetsSource/S33/UI/asset_s33_02/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Assets/Game/S33/UI/asset_s33_02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外交关系图</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AssetsSource/S33/UI/asset_s33_03/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Assets/Game/S33/UI/asset_s33_03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捐献/公告UI</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asset_s33_04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AssetsSource/S33/UI/asset_s33_04/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Assets/Game/S33/UI/asset_s33_04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guild_opened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uid,session_id,entry,config_version,member_cap</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guild_action_submitted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guild_result_committed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满足开启条件，从首态推进至成功态；校验UI、权威状态、`player_guild_state`与奖励/输出一致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S34｜好友、聊天与社交系统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好友关系、屏蔽、私聊/频道、邀请、举报和内容安全。”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若该系统被竞品证据与本项目核心循环确认，P0只做好友、聊天与社交的最短可玩闭环：进入→操作→权威结算→反馈→持久化。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在留存/深度指标证明需要后，再扩展好友、聊天与社交的高级规则、组合内容、便捷操作与运营化能力。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目标：管理好友关系、屏蔽、私聊/频道、邀请、举报和内容安全。｜层级：社交｜适用：MMO、生活模拟、派对、社交推理、沙盒</w:t>
      </w:r>
    </w:p>
    <w:p>
      <w:r>
        <w:rPr>
          <w:rFonts w:ascii="Hiragino Sans GB" w:hAnsi="Hiragino Sans GB" w:eastAsia="Hiragino Sans GB"/>
          <w:b w:val="0"/>
          <w:i w:val="0"/>
          <w:color w:val="20252B"/>
          <w:sz w:val="21"/>
        </w:rPr>
        <w:t>标准状态：Unknown→Requested→Friend/Blocked→Removed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cfg_social版本匹配；依赖系统、资产Manifest和本地化key可用；当前状态=Unknown。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玩家从pf_friend_item进入；客户端提交意图；共享规则按 `Unknown→Requested→Friend/Blocked→Removed`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`player_social_state`/领域账本；广播领域事件；刷新相关UI、红点与任务；上报完成事件。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pf_friend_item</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pf_chat_bubble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pf_invite_card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pf_report_dialog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social-rules.ts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friend-controller.ts / chat-view.ts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pf_friend_item, pf_chat_bubble, pf_invite_card, pf_report_dialog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social.service.ts / moderation.service.ts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cfg_social, cfg_chat_channel, cfg_moderation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message_max_chars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1..5000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消息长度</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cfg_social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rate_limit_per_min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发送频控</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social_enabled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social_rule_version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player_social_state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头像/状态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AssetsSource/S34/Texture/asset_s34_01/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Assets/Game/S34/Texture/asset_s34_01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聊天气泡</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AssetsSource/S34/UI/asset_s34_02/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Assets/Game/S34/UI/asset_s34_02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邀请卡</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AssetsSource/S34/UI/asset_s34_03/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Assets/Game/S34/UI/asset_s34_03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举报/屏蔽UI</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AssetsSource/S34/UI/asset_s34_04/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Assets/Game/S34/UI/asset_s34_04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social_opened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uid,session_id,entry,config_version,message_max_chars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social_action_submitted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social_result_committed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满足开启条件，从首态推进至成功态；校验UI、权威状态、`player_social_state`与奖励/输出一致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S35｜匹配、房间与组队系统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队伍、房间、准备、队列、分桶、取消竞态和重连。”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若该系统被竞品证据与本项目核心循环确认，P0只做匹配、房间与组队的最短可玩闭环：进入→操作→权威结算→反馈→持久化。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在留存/深度指标证明需要后，再扩展匹配、房间与组队的高级规则、组合内容、便捷操作与运营化能力。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目标：管理队伍、房间、准备、队列、分桶、取消竞态和重连。｜层级：社交/内容｜适用：竞技、合作、派对、音游、体育</w:t>
      </w:r>
    </w:p>
    <w:p>
      <w:r>
        <w:rPr>
          <w:rFonts w:ascii="Hiragino Sans GB" w:hAnsi="Hiragino Sans GB" w:eastAsia="Hiragino Sans GB"/>
          <w:b w:val="0"/>
          <w:i w:val="0"/>
          <w:color w:val="20252B"/>
          <w:sz w:val="21"/>
        </w:rPr>
        <w:t>标准状态：Idle→Party/Room→Ready→Queued→Matched→Loading</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cfg_matchmaking版本匹配；依赖系统、资产Manifest和本地化key可用；当前状态=Idle。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玩家从pf_party_slot进入；客户端提交意图；共享规则按 `Idle→Party/Room→Ready→Queued→Matched→Loading`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`player_matchmaking_state`/领域账本；广播领域事件；刷新相关UI、红点与任务；上报完成事件。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pf_party_slot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pf_room_panel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pf_matchmaking_card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matchmaking-rules.ts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lobby-controller.ts / matchmaking-view.ts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pf_party_slot, pf_room_panel, pf_matchmaking_card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matchmaking.service.ts / room.service.ts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cfg_matchmaking, cfg_room, cfg_queue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party_size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4</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队伍人数</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cfg_matchmaking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queue_timeout_sec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1..3600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120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匹配超时</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matchmaking_enabled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控制S35入口和服务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matchmaking_rule_version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player_matchmaking_state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队伍槽/头像</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asset_s35_01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AssetsSource/S35/Texture/asset_s35_01/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Assets/Game/S35/Texture/asset_s35_01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房间面板</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asset_s35_02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AssetsSource/S35/UI/asset_s35_02/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Assets/Game/S35/UI/asset_s35_02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等待/取消状态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asset_s35_03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AssetsSource/S35/UI/asset_s35_03/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Assets/Game/S35/UI/asset_s35_03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匹配成功反馈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asset_s35_04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AssetsSource/S35/VFX/asset_s35_04/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Assets/Game/S35/VFX/asset_s35_04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matchmaking_opened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uid,session_id,entry,config_version,party_size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matchmaking_action_submitted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matchmaking_result_committed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满足开启条件，从首态推进至成功态；校验UI、权威状态、`player_matchmaking_state`与奖励/输出一致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S36｜排行榜、段位与赛季系统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处理积分、段位、榜单快照、结算、重置、奖励和反作弊。”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若该系统被竞品证据与本项目核心循环确认，P0只做排行榜、段位与赛季的最短可玩闭环：进入→操作→权威结算→反馈→持久化。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在留存/深度指标证明需要后，再扩展排行榜、段位与赛季的高级规则、组合内容、便捷操作与运营化能力。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目标：处理积分、段位、榜单快照、结算、重置、奖励和反作弊。｜层级：成长/社交｜适用：竞技、卡牌、体育、音游、SLG</w:t>
      </w:r>
    </w:p>
    <w:p>
      <w:r>
        <w:rPr>
          <w:rFonts w:ascii="Hiragino Sans GB" w:hAnsi="Hiragino Sans GB" w:eastAsia="Hiragino Sans GB"/>
          <w:b w:val="0"/>
          <w:i w:val="0"/>
          <w:color w:val="20252B"/>
          <w:sz w:val="21"/>
        </w:rPr>
        <w:t>标准状态：Unranked→Placed→Ranked→Promoted/Demoted→SeasonSettled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cfg_rank版本匹配；依赖系统、资产Manifest和本地化key可用；当前状态=Unranked。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玩家从pf_rank_badge进入；客户端提交意图；共享规则按 `Unranked→Placed→Ranked→Promoted/Demoted→SeasonSettled`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`player_rank_state`/领域账本；广播领域事件；刷新相关UI、红点与任务；上报完成事件。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pf_rank_badge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pf_leaderboard_item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pf_season_panel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rank-rules.ts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rank-controller.ts / leaderboard-view.ts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pf_rank_badge, pf_leaderboard_item, pf_season_panel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rank.service.ts / season.service.ts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cfg_rank, cfg_season, cfg_rank_reward</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season_id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赛季外键</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cfg_rank</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score_floor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-1e9..1e9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段位积分下限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rank_enabled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控制S36入口和服务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rank_rule_version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player_rank_state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段位徽章</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asset_s36_01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AssetsSource/S36/UI/asset_s36_01/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Assets/Game/S36/UI/asset_s36_01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排行榜</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asset_s36_02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AssetsSource/S36/UI/asset_s36_02/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Assets/Game/S36/UI/asset_s36_02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赛季主题资源</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asset_s36_03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AssetsSource/S36/UI/asset_s36_03/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Assets/Game/S36/UI/asset_s36_03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升降段反馈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asset_s36_04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AssetsSource/S36/VFX/asset_s36_04/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Assets/Game/S36/VFX/asset_s36_04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rank_opened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uid,session_id,entry,config_version,season_id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rank_action_submitted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rank_result_committed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满足开启条件，从首态推进至成功态；校验UI、权威状态、`player_rank_state`与奖励/输出一致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S37｜AI、NPC与行为系统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以行为树/效用/状态机控制感知、决策、行动、难度和作弊边界。”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若该系统被竞品证据与本项目核心循环确认，P0只做AI、NPC与行为的最短可玩闭环：进入→操作→权威结算→反馈→持久化。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在留存/深度指标证明需要后，再扩展AI、NPC与行为的高级规则、组合内容、便捷操作与运营化能力。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目标：以行为树/效用/状态机控制感知、决策、行动、难度和作弊边界。｜层级：核心/内容｜适用：单机、PVE、训练、补位</w:t>
      </w:r>
    </w:p>
    <w:p>
      <w:r>
        <w:rPr>
          <w:rFonts w:ascii="Hiragino Sans GB" w:hAnsi="Hiragino Sans GB" w:eastAsia="Hiragino Sans GB"/>
          <w:b w:val="0"/>
          <w:i w:val="0"/>
          <w:color w:val="20252B"/>
          <w:sz w:val="21"/>
        </w:rPr>
        <w:t>标准状态：Dormant→Perceive→Decide→Act→Recover/Dead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cfg_ai_profile版本匹配；依赖系统、资产Manifest和本地化key可用；当前状态=Dormant。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玩家从pf_npc_*进入；客户端提交意图；共享规则按 `Dormant→Perceive→Decide→Act→Recover/Dead`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`player_ai_profile_state`/领域账本；广播领域事件；刷新相关UI、红点与任务；上报完成事件。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pf_npc_*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pf_ai_debug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pf_awareness_marker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ai-policy.ts / behavior-tree.ts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npc-view.ts / debug-ai-view.ts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pf_npc_*, pf_ai_debug, pf_awareness_marker</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ai-orchestration.service.ts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cfg_ai_profile, cfg_behavior, cfg_difficulty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think_interval_ms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10..5000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AI思考周期</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cfg_ai_profile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difficulty_scale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难度倍率</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ai_profile_enabled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控制S37入口和服务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ai_profile_rule_version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player_ai_profile_state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NPC表现</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asset_s37_01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AssetsSource/S37/UI/asset_s37_01/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Assets/Game/S37/UI/asset_s37_01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警觉/目标标识</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asset_s37_02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AssetsSource/S37/UI/asset_s37_02/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Assets/Game/S37/UI/asset_s37_02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AI调试图层</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asset_s37_03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AssetsSource/S37/UI/asset_s37_03/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Assets/Game/S37/UI/asset_s37_03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行为音效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asset_s37_04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AssetsSource/S37/Audio/asset_s37_04/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Assets/Game/S37/Audio/asset_s37_04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ai_profile_opened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uid,session_id,entry,config_version,think_interval_ms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ai_profile_action_submitted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ai_profile_result_committed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满足开启条件，从首态推进至成功态；校验UI、权威状态、`player_ai_profile_state`与奖励/输出一致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S38｜存档、账号与玩家档案系统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玩家身份、版本化存档、云同步、迁移、冲突、回滚和隐私字段。”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若该系统被竞品证据与本项目核心循环确认，P0只做存档、账号与玩家档案的最短可玩闭环：进入→操作→权威结算→反馈→持久化。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在留存/深度指标证明需要后，再扩展存档、账号与玩家档案的高级规则、组合内容、便捷操作与运营化能力。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目标：管理玩家身份、版本化存档、云同步、迁移、冲突、回滚和隐私字段。｜层级：基础设施｜适用：所有有进度的游戏</w:t>
      </w:r>
    </w:p>
    <w:p>
      <w:r>
        <w:rPr>
          <w:rFonts w:ascii="Hiragino Sans GB" w:hAnsi="Hiragino Sans GB" w:eastAsia="Hiragino Sans GB"/>
          <w:b w:val="0"/>
          <w:i w:val="0"/>
          <w:color w:val="20252B"/>
          <w:sz w:val="21"/>
        </w:rPr>
        <w:t>标准状态：Anonymous→Authenticated→Loaded→Dirty→Saving→Synced/Conflict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cfg_profile版本匹配；依赖系统、资产Manifest和本地化key可用；当前状态=Anonymous。</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玩家从pf_avatar进入；客户端提交意图；共享规则按 `Anonymous→Authenticated→Loaded→Dirty→Saving→Synced/Conflict`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`player_profile_state`/领域账本；广播领域事件；刷新相关UI、红点与任务；上报完成事件。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pf_avatar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pf_profile_page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pf_sync_status</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profile-schema.ts / migration.ts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profile-controller.ts / sync-view.ts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pf_avatar, pf_profile_page, pf_sync_status</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profile.service.ts / profile.repository.ts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cfg_profile, cfg_save_migration, cfg_privacy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schema_version</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存档Schema版本</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cfg_profile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save_interval_sec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1..3600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60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自动存档周期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profile_enabled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控制S38入口和服务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profile_rule_version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player_profile_state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头像/档案页</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asset_s38_01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AssetsSource/S38/Texture/asset_s38_01/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Assets/Game/S38/Texture/asset_s38_01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同步状态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asset_s38_02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AssetsSource/S38/UI/asset_s38_02/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Assets/Game/S38/UI/asset_s38_02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冲突提示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asset_s38_03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AssetsSource/S38/UI/asset_s38_03/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Assets/Game/S38/UI/asset_s38_03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默认占位图</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asset_s38_04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AssetsSource/S38/UI/asset_s38_04/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Assets/Game/S38/UI/asset_s38_04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profile_opened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uid,session_id,entry,config_version,schema_version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profile_action_submitted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profile_result_committed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满足开启条件，从首态推进至成功态；校验UI、权威状态、`player_profile_state`与奖励/输出一致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S39｜教程、新手引导与帮助系统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用条件和步骤引导操作，支持跳过、恢复、埋点和失败兜底。”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若该系统被竞品证据与本项目核心循环确认，P0只做教程、新手引导与帮助的最短可玩闭环：进入→操作→权威结算→反馈→持久化。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在留存/深度指标证明需要后，再扩展教程、新手引导与帮助的高级规则、组合内容、便捷操作与运营化能力。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目标：用条件和步骤引导操作，支持跳过、恢复、埋点和失败兜底。｜层级：内容｜适用：所有需要学习成本的游戏</w:t>
      </w:r>
    </w:p>
    <w:p>
      <w:r>
        <w:rPr>
          <w:rFonts w:ascii="Hiragino Sans GB" w:hAnsi="Hiragino Sans GB" w:eastAsia="Hiragino Sans GB"/>
          <w:b w:val="0"/>
          <w:i w:val="0"/>
          <w:color w:val="20252B"/>
          <w:sz w:val="21"/>
        </w:rPr>
        <w:t>标准状态：NotStarted→ActiveStep→Waiting→Completed/Skipped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cfg_tutorial版本匹配；依赖系统、资产Manifest和本地化key可用；当前状态=NotStarted。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玩家从pf_guide_mask进入；客户端提交意图；共享规则按 `NotStarted→ActiveStep→Waiting→Completed/Skipped`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`player_tutorial_state`/领域账本；广播领域事件；刷新相关UI、红点与任务；上报完成事件。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pf_guide_mask</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pf_guide_pointer</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pf_help_page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tutorial-rules.ts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tutorial-controller.ts / guide-overlay.ts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pf_guide_mask, pf_guide_pointer, pf_help_page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tutorial-progress.service.ts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cfg_tutorial, cfg_guide_step, cfg_help</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step_timeout_sec</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0..3600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60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步骤超时</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cfg_tutorial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skippable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是否可跳过</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tutorial_enabled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控制S39入口和服务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tutorial_rule_version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player_tutorial_state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遮罩/指针</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asset_s39_01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AssetsSource/S39/UI/asset_s39_01/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Assets/Game/S39/UI/asset_s39_01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步骤气泡</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asset_s39_02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AssetsSource/S39/UI/asset_s39_02/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Assets/Game/S39/UI/asset_s39_02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帮助图文/视频</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asset_s39_03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源ProRes 422；runtime H.264/H.265；1920×1080或1080×1920；码率6–12Mbps</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AssetsSource/S39/Video/asset_s39_03/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Assets/Game/S39/Video/asset_s39_03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完成反馈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asset_s39_04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AssetsSource/S39/VFX/asset_s39_04/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Assets/Game/S39/VFX/asset_s39_04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tutorial_opened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uid,session_id,entry,config_version,step_timeout_sec</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tutorial_action_submitted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tutorial_result_committed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满足开启条件，从首态推进至成功态；校验UI、权威状态、`player_tutorial_state`与奖励/输出一致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S40｜活动、日历与LiveOps系统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按时间、分组和条件组合任务、玩法入口、奖励、商店与补偿。”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若该系统被竞品证据与本项目核心循环确认，P0只做活动、日历与LiveOps的最短可玩闭环：进入→操作→权威结算→反馈→持久化。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在留存/深度指标证明需要后，再扩展活动、日历与LiveOps的高级规则、组合内容、便捷操作与运营化能力。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目标：按时间、分组和条件组合任务、玩法入口、奖励、商店与补偿。｜层级：长线运营｜适用：所有长线运营游戏</w:t>
      </w:r>
    </w:p>
    <w:p>
      <w:r>
        <w:rPr>
          <w:rFonts w:ascii="Hiragino Sans GB" w:hAnsi="Hiragino Sans GB" w:eastAsia="Hiragino Sans GB"/>
          <w:b w:val="0"/>
          <w:i w:val="0"/>
          <w:color w:val="20252B"/>
          <w:sz w:val="21"/>
        </w:rPr>
        <w:t>标准状态：Draft→Preview→Scheduled→Active→Paused/Ended→Compensated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cfg_activity版本匹配；依赖系统、资产Manifest和本地化key可用；当前状态=Draft。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玩家从pf_activity_entry进入；客户端提交意图；共享规则按 `Draft→Preview→Scheduled→Active→Paused/Ended→Compensated`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`player_activity_state`/领域账本；广播领域事件；刷新相关UI、红点与任务；上报完成事件。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pf_activity_entry</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pf_activity_page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pf_calendar_item</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activity-schema.ts / condition-dsl.ts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activity-controller.ts / calendar-view.ts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pf_activity_entry, pf_activity_page, pf_calendar_item</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liveops.service.ts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cfg_activity, cfg_calendar, cfg_compensation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start_at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timestamp</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required</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活动开始</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cfg_activity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end_at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timestamp</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&gt;start_at</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活动结束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activity_enabled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控制S40入口和服务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activity_rule_version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player_activity_state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活动入口/Banner</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asset_s40_01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AssetsSource/S40/Texture/asset_s40_01/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Assets/Game/S40/Texture/asset_s40_01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活动页主题</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asset_s40_02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AssetsSource/S40/UI/asset_s40_02/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Assets/Game/S40/UI/asset_s40_02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日历/红点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asset_s40_03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AssetsSource/S40/UI/asset_s40_03/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Assets/Game/S40/UI/asset_s40_03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结束/补偿提示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asset_s40_04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AssetsSource/S40/UI/asset_s40_04/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Assets/Game/S40/UI/asset_s40_04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activity_opened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uid,session_id,entry,config_version,start_at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activity_action_submitted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activity_result_committed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满足开启条件，从首态推进至成功态；校验UI、权威状态、`player_activity_state`与奖励/输出一致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S41｜商业化、支付与广告系统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商品、支付、验签、权益、退款、广告奖励、限购和未成年人限制。”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若该系统被竞品证据与本项目核心循环确认，P0只做商业化、支付与广告的最短可玩闭环：进入→操作→权威结算→反馈→持久化。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在留存/深度指标证明需要后，再扩展商业化、支付与广告的高级规则、组合内容、便捷操作与运营化能力。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目标：管理商品、支付、验签、权益、退款、广告奖励、限购和未成年人限制。｜层级：商业化｜适用：免费游戏、混合变现游戏</w:t>
      </w:r>
    </w:p>
    <w:p>
      <w:r>
        <w:rPr>
          <w:rFonts w:ascii="Hiragino Sans GB" w:hAnsi="Hiragino Sans GB" w:eastAsia="Hiragino Sans GB"/>
          <w:b w:val="0"/>
          <w:i w:val="0"/>
          <w:color w:val="20252B"/>
          <w:sz w:val="21"/>
        </w:rPr>
        <w:t>标准状态：Catalog→Ordering→Paying→Verified→Granted/Refunded/Failed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cfg_product版本匹配；依赖系统、资产Manifest和本地化key可用；当前状态=Catalog。</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玩家从pf_product_card进入；客户端提交意图；共享规则按 `Catalog→Ordering→Paying→Verified→Granted/Refunded/Failed`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`player_product_state`/领域账本；广播领域事件；刷新相关UI、红点与任务；上报完成事件。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pf_product_card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pf_purchase_dialog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pf_ad_entry</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entitlement-rules.ts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purchase-controller.ts / ad-view.ts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pf_product_card, pf_purchase_dialog, pf_ad_entry</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commerce.service.ts / payment-adapter.ts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cfg_product, cfg_entitlement, cfg_ad_slot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平台商品ID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cfg_product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minor_limit_group</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未成年人限额组</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product_rule_version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player_product_state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商品图/价格牌</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AssetsSource/S41/UI/asset_s41_01/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Assets/Game/S41/UI/asset_s41_01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购买确认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AssetsSource/S41/UI/asset_s41_02/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Assets/Game/S41/UI/asset_s41_02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广告入口</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AssetsSource/S41/UI/asset_s41_03/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Assets/Game/S41/UI/asset_s41_03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到账/失败反馈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AssetsSource/S41/VFX/asset_s41_04/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Assets/Game/S41/VFX/asset_s41_04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product_opened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uid,session_id,entry,config_version,product_id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product_action_submitted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product_result_committed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满足开启条件，从首态推进至成功态；校验UI、权威状态、`player_product_state`与奖励/输出一致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S42｜文案、本地化与叙事资源系统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先记录竞品可见事实与证据ID，再判断其解决的玩家问题；将“以稳定 key 管理多语言、参数、复数、长度、语音和上下文。”拆成可迁移机制，不得照搬竞品数值、命名、界面或内容。若该机制不能改善本项目核心循环、目标指标或生产效率，则标记N/A。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若该系统被竞品证据与本项目核心循环确认，P0只做文案、本地化与叙事资源的最短可玩闭环：进入→操作→权威结算→反馈→持久化。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在留存/深度指标证明需要后，再扩展文案、本地化与叙事资源的高级规则、组合内容、便捷操作与运营化能力。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目标：以稳定 key 管理多语言、参数、复数、长度、语音和上下文。｜层级：基础设施｜适用：所有游戏</w:t>
      </w:r>
    </w:p>
    <w:p>
      <w:r>
        <w:rPr>
          <w:rFonts w:ascii="Hiragino Sans GB" w:hAnsi="Hiragino Sans GB" w:eastAsia="Hiragino Sans GB"/>
          <w:b w:val="0"/>
          <w:i w:val="0"/>
          <w:color w:val="20252B"/>
          <w:sz w:val="21"/>
        </w:rPr>
        <w:t>标准状态：Draft→Review→Approved→Published→Deprecated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cfg_localization版本匹配；依赖系统、资产Manifest和本地化key可用；当前状态=Draft。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玩家从pf_text_style_*进入；客户端提交意图；共享规则按 `Draft→Review→Approved→Published→Deprecated`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`player_localization_state`/领域账本；广播领域事件；刷新相关UI、红点与任务；上报完成事件。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pf_text_style_*</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pf_missing_text_warning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localization-schema.ts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localization-loader.ts / text-view.ts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pf_text_style_*, pf_missing_text_warning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localization.service.ts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cfg_localization, cfg_text_style, cfg_voice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locale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BCP47</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zh-CN</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语言地区</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cfg_localization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max_length</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0表示不限制</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localization_enabled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localization_rule_version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player_localization_state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字体/字库</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AssetsSource/S42/UI/asset_s42_01/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Assets/Game/S42/UI/asset_s42_01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文本样式</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AssetsSource/S42/UI/asset_s42_02/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Assets/Game/S42/UI/asset_s42_02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本地化图片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AssetsSource/S42/UI/asset_s42_03/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Assets/Game/S42/UI/asset_s42_03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字幕/语音资源</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AssetsSource/S42/Audio/asset_s42_04/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Assets/Game/S42/Audio/asset_s42_04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localization_opened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uid,session_id,entry,config_version,locale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localization_action_submitted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localization_result_committed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满足开启条件，从首态推进至成功态；校验UI、权威状态、`player_localization_state`与奖励/输出一致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S43｜埋点、指标与日志系统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定义事件Schema、版本、触发、字段、隐私等级、采样和质量校验。”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若该系统被竞品证据与本项目核心循环确认，P0只做埋点、指标与日志的最短可玩闭环：进入→操作→权威结算→反馈→持久化。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在留存/深度指标证明需要后，再扩展埋点、指标与日志的高级规则、组合内容、便捷操作与运营化能力。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目标：定义事件Schema、版本、触发、字段、隐私等级、采样和质量校验。｜层级：基础设施｜适用：所有上线游戏</w:t>
      </w:r>
    </w:p>
    <w:p>
      <w:r>
        <w:rPr>
          <w:rFonts w:ascii="Hiragino Sans GB" w:hAnsi="Hiragino Sans GB" w:eastAsia="Hiragino Sans GB"/>
          <w:b w:val="0"/>
          <w:i w:val="0"/>
          <w:color w:val="20252B"/>
          <w:sz w:val="21"/>
        </w:rPr>
        <w:t>标准状态：Defined→Emitted→Buffered→Uploaded→Validated/Rejected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cfg_analytics_event版本匹配；依赖系统、资产Manifest和本地化key可用；当前状态=Defined。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玩家从pf_debug_event_panel进入；客户端提交意图；共享规则按 `Defined→Emitted→Buffered→Uploaded→Validated/Rejected`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`player_analytics_event_state`/领域账本；广播领域事件；刷新相关UI、红点与任务；上报完成事件。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pf_debug_event_panel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event-schema.ts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telemetry-client.ts / debug-event-view.ts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pf_debug_event_panel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telemetry.service.ts / event-pipeline.ts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cfg_analytics_event, cfg_sampling, cfg_privacy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sample_rate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采样率</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cfg_analytics_event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privacy_level</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public/pseudo/sensitive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public</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隐私等级</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analytics_event_enabled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analytics_event_rule_version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player_analytics_event_state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调试事件面板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AssetsSource/S43/UI/asset_s43_01/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Assets/Game/S43/UI/asset_s43_01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埋点状态图标</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AssetsSource/S43/Texture/asset_s43_02/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Assets/Game/S43/Texture/asset_s43_02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错误提示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AssetsSource/S43/UI/asset_s43_03/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Assets/Game/S43/UI/asset_s43_03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analytics_event_opened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uid,session_id,entry,config_version,sample_rate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analytics_event_action_submitted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analytics_event_result_committed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满足开启条件，从首态推进至成功态；校验UI、权威状态、`player_analytics_event_state`与奖励/输出一致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S44｜资源加载、Manifest与热更新系统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asset_id、依赖、hash、分包、缓存、质量档、fallback和回滚。”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若该系统被竞品证据与本项目核心循环确认，P0只做资源加载、Manifest与热更新的最短可玩闭环：进入→操作→权威结算→反馈→持久化。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在留存/深度指标证明需要后，再扩展资源加载、Manifest与热更新的高级规则、组合内容、便捷操作与运营化能力。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目标：管理asset_id、依赖、hash、分包、缓存、质量档、fallback和回滚。｜层级：基础设施｜适用：所有游戏</w:t>
      </w:r>
    </w:p>
    <w:p>
      <w:r>
        <w:rPr>
          <w:rFonts w:ascii="Hiragino Sans GB" w:hAnsi="Hiragino Sans GB" w:eastAsia="Hiragino Sans GB"/>
          <w:b w:val="0"/>
          <w:i w:val="0"/>
          <w:color w:val="20252B"/>
          <w:sz w:val="21"/>
        </w:rPr>
        <w:t>标准状态：Unknown→Queued→Downloading→Verified→Loaded/Failed/Fallback</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cfg_asset_manifest版本匹配；依赖系统、资产Manifest和本地化key可用；当前状态=Unknown。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玩家从pf_loading进入；客户端提交意图；共享规则按 `Unknown→Queued→Downloading→Verified→Loaded/Failed/Fallback`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`player_asset_manifest_state`/领域账本；广播领域事件；刷新相关UI、红点与任务；上报完成事件。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pf_loading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pf_download_item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pf_asset_fallback</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asset-manifest.ts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asset-loader.ts / download-view.ts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pf_loading, pf_download_item, pf_asset_fallback</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asset-config.service.ts / cdn-manifest.service.ts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cfg_asset_manifest, cfg_bundle, cfg_quality_tier</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bundle_id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base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分包ID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cfg_asset_manifest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fallback_asset_id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降级资源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asset_manifest_enabled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asset_manifest_rule_version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player_asset_manifest_state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Loading/下载UI</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AssetsSource/S44/UI/asset_s44_01/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Assets/Game/S44/UI/asset_s44_01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占位图</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AssetsSource/S44/UI/asset_s44_02/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Assets/Game/S44/UI/asset_s44_02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分包封面</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AssetsSource/S44/Texture/asset_s44_03/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Assets/Game/S44/Texture/asset_s44_03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错误/重试提示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AssetsSource/S44/UI/asset_s44_04/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Assets/Game/S44/UI/asset_s44_04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asset_manifest_opened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uid,session_id,entry,config_version,bundle_id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asset_manifest_action_submitted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asset_manifest_result_committed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满足开启条件，从首态推进至成功态；校验UI、权威状态、`player_asset_manifest_state`与奖励/输出一致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S45｜音频、语音与混音系统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BGM、SFX、语音、总线、优先级、衰减、字幕同步和静音策略。”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若该系统被竞品证据与本项目核心循环确认，P0只做音频、语音与混音的最短可玩闭环：进入→操作→权威结算→反馈→持久化。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在留存/深度指标证明需要后，再扩展音频、语音与混音的高级规则、组合内容、便捷操作与运营化能力。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目标：管理BGM、SFX、语音、总线、优先级、衰减、字幕同步和静音策略。｜层级：表现｜适用：所有游戏</w:t>
      </w:r>
    </w:p>
    <w:p>
      <w:r>
        <w:rPr>
          <w:rFonts w:ascii="Hiragino Sans GB" w:hAnsi="Hiragino Sans GB" w:eastAsia="Hiragino Sans GB"/>
          <w:b w:val="0"/>
          <w:i w:val="0"/>
          <w:color w:val="20252B"/>
          <w:sz w:val="21"/>
        </w:rPr>
        <w:t>标准状态：Unloaded→Loaded→Playing→Paused/Fading→Stopped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cfg_audio版本匹配；依赖系统、资产Manifest和本地化key可用；当前状态=Unloaded。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玩家从pf_audio_source进入；客户端提交意图；共享规则按 `Unloaded→Loaded→Playing→Paused/Fading→Stopped`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`player_audio_state`/领域账本；广播领域事件；刷新相关UI、红点与任务；上报完成事件。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pf_audio_source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pf_subtitle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pf_volume_setting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audio-cue-schema.ts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audio-manager.ts / subtitle-view.ts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pf_audio_source, pf_subtitle, pf_volume_setting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voice-config.service.ts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cfg_audio, cfg_audio_bus, cfg_subtitle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lufs_target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-40..0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响度目标</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cfg_audio</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priority</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0..255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128</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播放优先级</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audio_enabled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控制S45入口和服务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audio_rule_version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player_audio_state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BGM</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asset_s45_01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AssetsSource/S45/Audio/asset_s45_01/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Assets/Game/S45/Audio/asset_s45_01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SFX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asset_s45_02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AssetsSource/S45/Audio/asset_s45_02/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Assets/Game/S45/Audio/asset_s45_02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角色语音</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asset_s45_03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AssetsSource/S45/Audio/asset_s45_03/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Assets/Game/S45/Audio/asset_s45_03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字幕/音量UI</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asset_s45_04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AssetsSource/S45/UI/asset_s45_04/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Assets/Game/S45/UI/asset_s45_04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audio_opened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uid,session_id,entry,config_version,lufs_target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audio_action_submitted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audio_result_committed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满足开启条件，从首态推进至成功态；校验UI、权威状态、`player_audio_state`与奖励/输出一致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S46｜设置、可访问性与设备适配系统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画质、音量、输入、字幕、色弱、安全区、权限和设备能力。”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若该系统被竞品证据与本项目核心循环确认，P0只做设置、可访问性与设备适配的最短可玩闭环：进入→操作→权威结算→反馈→持久化。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在留存/深度指标证明需要后，再扩展设置、可访问性与设备适配的高级规则、组合内容、便捷操作与运营化能力。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目标：管理画质、音量、输入、字幕、色弱、安全区、权限和设备能力。｜层级：基础设施｜适用：所有游戏</w:t>
      </w:r>
    </w:p>
    <w:p>
      <w:r>
        <w:rPr>
          <w:rFonts w:ascii="Hiragino Sans GB" w:hAnsi="Hiragino Sans GB" w:eastAsia="Hiragino Sans GB"/>
          <w:b w:val="0"/>
          <w:i w:val="0"/>
          <w:color w:val="20252B"/>
          <w:sz w:val="21"/>
        </w:rPr>
        <w:t>标准状态：Default→Loaded→Changed→Applied→Persisted/Reset</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cfg_setting版本匹配；依赖系统、资产Manifest和本地化key可用；当前状态=Default。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玩家从pf_settings_page进入；客户端提交意图；共享规则按 `Default→Loaded→Changed→Applied→Persisted/Reset`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`player_setting_state`/领域账本；广播领域事件；刷新相关UI、红点与任务；上报完成事件。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pf_settings_page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pf_key_binding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pf_safe_area</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pf_accessibility_option</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settings-schema.ts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settings-controller.ts / accessibility-view.ts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pf_settings_page, pf_key_binding, pf_safe_area, pf_accessibility_option</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settings-sync.service.ts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cfg_setting, cfg_device_tier, cfg_accessibility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device_tier</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设备档位</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cfg_setting</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safe_area_mode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auto/custom/off</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auto</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安全区模式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setting_enabled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控制S46入口和服务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setting_rule_version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player_setting_state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设置图标/页面</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asset_s46_01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AssetsSource/S46/Texture/asset_s46_01/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Assets/Game/S46/Texture/asset_s46_01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键位/手柄提示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asset_s46_02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AssetsSource/S46/UI/asset_s46_02/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Assets/Game/S46/UI/asset_s46_02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色弱方案</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asset_s46_03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AssetsSource/S46/UI/asset_s46_03/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Assets/Game/S46/UI/asset_s46_03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权限弹窗</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asset_s46_04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AssetsSource/S46/UI/asset_s46_04/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Assets/Game/S46/UI/asset_s46_04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setting_opened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uid,session_id,entry,config_version,device_tier</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setting_action_submitted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setting_result_committed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满足开启条件，从首态推进至成功态；校验UI、权威状态、`player_setting_state`与奖励/输出一致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S47｜UGC编辑器、发布与审核系统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编辑工具、资源预算、保存、版本、发布、审核、举报和下架。”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若该系统被竞品证据与本项目核心循环确认，P0只做UGC编辑器、发布与审核的最短可玩闭环：进入→操作→权威结算→反馈→持久化。</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在留存/深度指标证明需要后，再扩展UGC编辑器、发布与审核的高级规则、组合内容、便捷操作与运营化能力。</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目标：管理编辑工具、资源预算、保存、版本、发布、审核、举报和下架。｜层级：创造/社交｜适用：沙盒、关卡编辑、装扮创作</w:t>
      </w:r>
    </w:p>
    <w:p>
      <w:r>
        <w:rPr>
          <w:rFonts w:ascii="Hiragino Sans GB" w:hAnsi="Hiragino Sans GB" w:eastAsia="Hiragino Sans GB"/>
          <w:b w:val="0"/>
          <w:i w:val="0"/>
          <w:color w:val="20252B"/>
          <w:sz w:val="21"/>
        </w:rPr>
        <w:t>标准状态：Draft→Validating→Submitted→Reviewing→Published/Rejected/Removed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cfg_ugc_tool版本匹配；依赖系统、资产Manifest和本地化key可用；当前状态=Draft。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玩家从pf_editor_toolbar进入；客户端提交意图；共享规则按 `Draft→Validating→Submitted→Reviewing→Published/Rejected/Removed`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`player_ugc_tool_state`/领域账本；广播领域事件；刷新相关UI、红点与任务；上报完成事件。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pf_editor_toolbar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pf_property_panel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pf_publish_dialog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ugc-schema.ts / budget-validator.ts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editor-controller.ts / publish-view.ts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pf_editor_toolbar, pf_property_panel, pf_publish_dialog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ugc.service.ts / moderation.service.ts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cfg_ugc_tool, cfg_content_budget, cfg_moderation</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content_budget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内容预算</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cfg_ugc_tool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review_policy_id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审核策略</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ugc_tool_enabled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控制S47入口和服务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ugc_tool_rule_version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player_ugc_tool_state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编辑器工具图标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asset_s47_01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AssetsSource/S47/Texture/asset_s47_01/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Assets/Game/S47/Texture/asset_s47_01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属性面板</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asset_s47_02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AssetsSource/S47/UI/asset_s47_02/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Assets/Game/S47/UI/asset_s47_02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模板/素材缩略图</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asset_s47_03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AssetsSource/S47/Texture/asset_s47_03/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Assets/Game/S47/Texture/asset_s47_03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审核状态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asset_s47_04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AssetsSource/S47/UI/asset_s47_04/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Assets/Game/S47/UI/asset_s47_04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ugc_tool_opened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uid,session_id,entry,config_version,content_budget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ugc_tool_action_submitted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ugc_tool_result_committed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满足开启条件，从首态推进至成功态；校验UI、权威状态、`player_ugc_tool_state`与奖励/输出一致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S48｜邮件、附件与补偿系统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承接系统通知、奖励附件、全服补偿、定向群发、过期回收和可审计领取。”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上线阻断项：完成邮件、附件与补偿的权威流程、失败兜底、审计与回滚；cfg_mail_template可热修，pf_mail_inbox具备完整空/错/加载态。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目标：承接系统通知、奖励附件、全服补偿、定向群发、过期回收和可审计领取。｜层级：长线运营基础设施｜适用：F2P、长线运营、联网游戏</w:t>
      </w:r>
    </w:p>
    <w:p>
      <w:r>
        <w:rPr>
          <w:rFonts w:ascii="Hiragino Sans GB" w:hAnsi="Hiragino Sans GB" w:eastAsia="Hiragino Sans GB"/>
          <w:b w:val="0"/>
          <w:i w:val="0"/>
          <w:color w:val="20252B"/>
          <w:sz w:val="21"/>
        </w:rPr>
        <w:t>标准状态：Draft→Approved→Scheduled→Delivered→Read→Claimed/Expired/Recalled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cfg_mail_template版本匹配；依赖系统、资产Manifest和本地化key可用；当前状态=Draft。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玩家从pf_mail_inbox进入；客户端提交意图；共享规则按 `Draft→Approved→Scheduled→Delivered→Read→Claimed/Expired/Recalled`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`player_mail_template_state`/领域账本；广播领域事件；刷新相关UI、红点与任务；上报完成事件。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pf_mail_inbox</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pf_mail_item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pf_mail_detail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pf_attachment_cell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mail-schema.ts / attachment-rules.ts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mail-controller.ts / mail-detail-view.ts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pf_mail_inbox, pf_mail_item, pf_mail_detail, pf_attachment_cell</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mail.service.ts / mail-delivery-worker.ts / reward-ledger.ts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cfg_mail_template, cfg_mail_channel, cfg_mail_expire_rule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expire_hours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1..8760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720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邮件有效期</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cfg_mail_template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attachment_group_id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附件奖励组</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mail_template_enabled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控制S48入口和服务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mail_template_rule_version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player_mail_template_state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邮件入口/未读态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asset_s48_01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AssetsSource/S48/UI/asset_s48_01/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Assets/Game/S48/UI/asset_s48_01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邮件列表与详情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asset_s48_02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AssetsSource/S48/UI/asset_s48_02/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Assets/Game/S48/UI/asset_s48_02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附件格与领取反馈</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asset_s48_03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AssetsSource/S48/VFX/asset_s48_03/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Assets/Game/S48/VFX/asset_s48_03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补偿到账SFX/VFX</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asset_s48_04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WAV 48kHz/24bit；-16 LUFS目标；无爆音/直流偏移；runtime Vorbis/AAC</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AssetsSource/S48/Audio/asset_s48_04/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Assets/Game/S48/Audio/asset_s48_04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mail_template_opened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uid,session_id,entry,config_version,expire_hours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mail_template_action_submitted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mail_template_result_committed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满足开启条件，从首态推进至成功态；校验UI、权威状态、`player_mail_template_state`与奖励/输出一致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S49｜实名认证与防沉迷系统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完成实名状态校验、未成年人时段与时长限制、付费限额、游客限制和合规提示。”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上线阻断项：完成实名认证与防沉迷的权威流程、失败兜底、审计与回滚；cfg_identity_policy可热修，pf_realname_dialog具备完整空/错/加载态。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目标：完成实名状态校验、未成年人时段与时长限制、付费限额、游客限制和合规提示。｜层级：合规基础设施｜适用：中国大陆上线游戏、未成年人可访问产品</w:t>
      </w:r>
    </w:p>
    <w:p>
      <w:r>
        <w:rPr>
          <w:rFonts w:ascii="Hiragino Sans GB" w:hAnsi="Hiragino Sans GB" w:eastAsia="Hiragino Sans GB"/>
          <w:b w:val="0"/>
          <w:i w:val="0"/>
          <w:color w:val="20252B"/>
          <w:sz w:val="21"/>
        </w:rPr>
        <w:t>标准状态：Unknown→Pending→VerifiedAdult/VerifiedMinor→Restricted/Allowed→Recheck</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cfg_identity_policy版本匹配；依赖系统、资产Manifest和本地化key可用；当前状态=Unknown。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玩家从pf_realname_dialog进入；客户端提交意图；共享规则按 `Unknown→Pending→VerifiedAdult/VerifiedMinor→Restricted/Allowed→Recheck`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`player_identity_policy_state`/领域账本；广播领域事件；刷新相关UI、红点与任务；上报完成事件。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pf_realname_dialog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pf_age_gate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pf_time_limit_notice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pf_payment_limit_notice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identity-policy.ts / anti-addiction-rules.ts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realname-controller.ts / restriction-view.ts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pf_realname_dialog, pf_age_gate, pf_time_limit_notice, pf_payment_limit_notice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identity.service.ts / anti-addiction.service.ts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cfg_identity_policy, cfg_anti_addiction, cfg_minor_payment_limit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minor_daily_min</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0..1440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未成年人每日分钟</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cfg_identity_policy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payment_limit_fen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0..1e9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付费限额分</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identity_policy_enabled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控制S49入口和服务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identity_policy_rule_version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player_identity_policy_state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实名弹窗</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asset_s49_01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AssetsSource/S49/UI/asset_s49_01/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Assets/Game/S49/UI/asset_s49_01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年龄/状态提示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asset_s49_02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AssetsSource/S49/UI/asset_s49_02/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Assets/Game/S49/UI/asset_s49_02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时长与宵禁提示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asset_s49_03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AssetsSource/S49/UI/asset_s49_03/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Assets/Game/S49/UI/asset_s49_03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付费限制提示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asset_s49_04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AssetsSource/S49/UI/asset_s49_04/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Assets/Game/S49/UI/asset_s49_04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identity_policy_opened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uid,session_id,entry,config_version,minor_daily_min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identity_policy_action_submitted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identity_policy_result_committed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满足开启条件，从首态推进至成功态；校验UI、权威状态、`player_identity_policy_state`与奖励/输出一致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S50｜红点、角标与通知聚合系统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以可追溯条件树聚合未读、可领取、可升级和限时提醒，避免业务系统各自硬编码红点。”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上线阻断项：完成红点、角标与通知聚合的权威流程、失败兜底、审计与回滚；cfg_badge_node可热修，pf_badge_dot具备完整空/错/加载态。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目标：以可追溯条件树聚合未读、可领取、可升级和限时提醒，避免业务系统各自硬编码红点。｜层级：客户端基础设施｜适用：所有多入口、多成长、多活动游戏</w:t>
      </w:r>
    </w:p>
    <w:p>
      <w:r>
        <w:rPr>
          <w:rFonts w:ascii="Hiragino Sans GB" w:hAnsi="Hiragino Sans GB" w:eastAsia="Hiragino Sans GB"/>
          <w:b w:val="0"/>
          <w:i w:val="0"/>
          <w:color w:val="20252B"/>
          <w:sz w:val="21"/>
        </w:rPr>
        <w:t>标准状态：Clean→Dirty→Evaluating→Visible/Hidden→Acknowledged→Clean</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cfg_badge_node版本匹配；依赖系统、资产Manifest和本地化key可用；当前状态=Clean。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玩家从pf_badge_dot进入；客户端提交意图；共享规则按 `Clean→Dirty→Evaluating→Visible/Hidden→Acknowledged→Clean`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`player_badge_node_state`/领域账本；广播领域事件；刷新相关UI、红点与任务；上报完成事件。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pf_badge_dot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pf_badge_count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pf_badge_parent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pf_notification_center</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badge-rule.ts / badge-graph.ts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badge-controller.ts / badge-view.ts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pf_badge_dot, pf_badge_count, pf_badge_parent, pf_notification_center</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badge-state.service.ts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cfg_badge_node, cfg_badge_rule, cfg_badge_priority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node_type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leaf/and/or/count</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leaf</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聚合节点类型</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cfg_badge_node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refresh_mode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event/poll/manual</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event</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刷新模式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badge_node_enabled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控制S50入口和服务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badge_node_rule_version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player_badge_node_state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红点/数字角标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asset_s50_01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AssetsSource/S50/UI/asset_s50_01/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Assets/Game/S50/UI/asset_s50_01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父级聚合态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asset_s50_02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AssetsSource/S50/UI/asset_s50_02/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Assets/Game/S50/UI/asset_s50_02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通知中心入口</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asset_s50_03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AssetsSource/S50/UI/asset_s50_03/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Assets/Game/S50/UI/asset_s50_03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消除/刷新反馈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asset_s50_04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AssetsSource/S50/VFX/asset_s50_04/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Assets/Game/S50/VFX/asset_s50_04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badge_node_opened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uid,session_id,entry,config_version,node_type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badge_node_action_submitted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badge_node_result_committed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满足开启条件，从首态推进至成功态；校验UI、权威状态、`player_badge_node_state`与奖励/输出一致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S51｜运营后台、GM工具与数据看板系统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提供配置审批、活动预览、玩家查询、GM指令、补发回滚、审计日志与核心指标看板。”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上线阻断项：完成运营后台、GM工具与数据看板的权威流程、失败兜底、审计与回滚；cfg_ops_permission可热修，pf_ops_dashboard具备完整空/错/加载态。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目标：提供配置审批、活动预览、玩家查询、GM指令、补发回滚、审计日志与核心指标看板。｜层级：运营基础设施｜适用：F2P、长线运营、客服与运营团队</w:t>
      </w:r>
    </w:p>
    <w:p>
      <w:r>
        <w:rPr>
          <w:rFonts w:ascii="Hiragino Sans GB" w:hAnsi="Hiragino Sans GB" w:eastAsia="Hiragino Sans GB"/>
          <w:b w:val="0"/>
          <w:i w:val="0"/>
          <w:color w:val="20252B"/>
          <w:sz w:val="21"/>
        </w:rPr>
        <w:t>标准状态：Draft→Review→Approved→Executing→Succeeded/Failed→Audited/RolledBack</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cfg_ops_permission版本匹配；依赖系统、资产Manifest和本地化key可用；当前状态=Draft。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玩家从pf_ops_dashboard进入；客户端提交意图；共享规则按 `Draft→Review→Approved→Executing→Succeeded/Failed→Audited/RolledBack`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`player_ops_permission_state`/领域账本；广播领域事件；刷新相关UI、红点与任务；上报完成事件。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pf_ops_dashboard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pf_player_lookup</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pf_gm_command_form</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pf_audit_log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ops-command-schema.ts / permission-policy.ts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ops-console.ts / dashboard-view.ts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pf_ops_dashboard, pf_player_lookup, pf_gm_command_form, pf_audit_log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ops-admin.service.ts / gm-command.service.ts / audit.service.ts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cfg_ops_permission, cfg_gm_command, cfg_dashboard_metric</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command_risk</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low/medium/high</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high</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GM指令风险</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cfg_ops_permission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approval_count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审批人数</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ops_permission_enabled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ops_permission_rule_version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player_ops_permission_state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后台导航与权限态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AssetsSource/S51/UI/asset_s51_01/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Assets/Game/S51/UI/asset_s51_01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配置/指令表单</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AssetsSource/S51/UI/asset_s51_02/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Assets/Game/S51/UI/asset_s51_02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审计与回滚提示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AssetsSource/S51/UI/asset_s51_03/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Assets/Game/S51/UI/asset_s51_03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数据图表组件</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AssetsSource/S51/UI/asset_s51_04/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Assets/Game/S51/UI/asset_s51_04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ops_permission_opened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uid,session_id,entry,config_version,command_risk</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ops_permission_action_submitted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ops_permission_result_committed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满足开启条件，从首态推进至成功态；校验UI、权威状态、`player_ops_permission_state`与奖励/输出一致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S52｜灰度发布与A/B测试系统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按账号、设备、渠道、地区和随机桶分流配置与功能，支持实验互斥、指标归因和一键回滚。”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上线阻断项：完成灰度发布与A/B测试的权威流程、失败兜底、审计与回滚；cfg_experiment可热修，pf_experiment_debug具备完整空/错/加载态。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目标：按账号、设备、渠道、地区和随机桶分流配置与功能，支持实验互斥、指标归因和一键回滚。｜层级：发布/实验基础设施｜适用：移动F2P、快速迭代与数据驱动产品</w:t>
      </w:r>
    </w:p>
    <w:p>
      <w:r>
        <w:rPr>
          <w:rFonts w:ascii="Hiragino Sans GB" w:hAnsi="Hiragino Sans GB" w:eastAsia="Hiragino Sans GB"/>
          <w:b w:val="0"/>
          <w:i w:val="0"/>
          <w:color w:val="20252B"/>
          <w:sz w:val="21"/>
        </w:rPr>
        <w:t>标准状态：Draft→Validated→Allocating→Running→Paused→Concluded/RolledBack</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cfg_experiment版本匹配；依赖系统、资产Manifest和本地化key可用；当前状态=Draft。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玩家从pf_experiment_debug进入；客户端提交意图；共享规则按 `Draft→Validated→Allocating→Running→Paused→Concluded/RolledBack`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`player_experiment_state`/领域账本；广播领域事件；刷新相关UI、红点与任务；上报完成事件。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pf_experiment_debug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pf_variant_badge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pf_force_variant_dialog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experiment-schema.ts / allocation-rules.ts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experiment-debug-view.ts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pf_experiment_debug, pf_variant_badge, pf_force_variant_dialog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experiment.service.ts / exposure-log.service.ts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cfg_experiment, cfg_experiment_variant, cfg_experiment_metric</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allocation_pct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分流万分比</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cfg_experiment</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mutual_group</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0..64</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互斥组</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experiment_enabled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experiment_rule_version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player_experiment_state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实验调试面板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AssetsSource/S52/UI/asset_s52_01/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Assets/Game/S52/UI/asset_s52_01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变体标识</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AssetsSource/S52/UI/asset_s52_02/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Assets/Game/S52/UI/asset_s52_02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强制分桶工具</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AssetsSource/S52/UI/asset_s52_03/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Assets/Game/S52/UI/asset_s52_03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异常/回滚提示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AssetsSource/S52/UI/asset_s52_04/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Assets/Game/S52/UI/asset_s52_04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experiment_opened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uid,session_id,entry,config_version,allocation_pct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experiment_action_submitted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experiment_result_committed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满足开启条件，从首态推进至成功态；校验UI、权威状态、`player_experiment_state`与奖励/输出一致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S53｜风控、反作弊与处罚系统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覆盖客户端篡改、速度/协议异常、脚本、黑产工作室、支付与交易风险、举报调查和分级处罚。”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上线阻断项：完成风控、反作弊与处罚的权威流程、失败兜底、审计与回滚；cfg_risk_signal可热修，pf_security_notice具备完整空/错/加载态。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目标：覆盖客户端篡改、速度/协议异常、脚本、黑产工作室、支付与交易风险、举报调查和分级处罚。｜层级：安全基础设施｜适用：联网、竞技、交易、排行榜、商业化游戏</w:t>
      </w:r>
    </w:p>
    <w:p>
      <w:r>
        <w:rPr>
          <w:rFonts w:ascii="Hiragino Sans GB" w:hAnsi="Hiragino Sans GB" w:eastAsia="Hiragino Sans GB"/>
          <w:b w:val="0"/>
          <w:i w:val="0"/>
          <w:color w:val="20252B"/>
          <w:sz w:val="21"/>
        </w:rPr>
        <w:t>标准状态：Observe→Score→Flag→Review/AutoAction→Punished/Cleared→Appealed/Closed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cfg_risk_signal版本匹配；依赖系统、资产Manifest和本地化key可用；当前状态=Observe。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玩家从pf_security_notice进入；客户端提交意图；共享规则按 `Observe→Score→Flag→Review/AutoAction→Punished/Cleared→Appealed/Closed`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`player_risk_signal_state`/领域账本；广播领域事件；刷新相关UI、红点与任务；上报完成事件。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pf_security_notice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pf_report_dialog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pf_sanction_detail</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pf_appeal_form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risk-signal-schema.ts / sanction-rules.ts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security-status-view.ts / appeal-view.ts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pf_security_notice, pf_report_dialog, pf_sanction_detail, pf_appeal_form</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risk-engine.service.ts / sanction.service.ts / case.service.ts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cfg_risk_signal, cfg_risk_rule, cfg_sanction_policy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risk_threshold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8000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风险阈值</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cfg_risk_signal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sanction_policy_id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处罚策略</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risk_signal_enabled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risk_signal_rule_version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player_risk_signal_state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安全提示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AssetsSource/S53/UI/asset_s53_01/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Assets/Game/S53/UI/asset_s53_01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举报与证据上传</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AssetsSource/S53/UI/asset_s53_02/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Assets/Game/S53/UI/asset_s53_02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处罚详情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AssetsSource/S53/UI/asset_s53_03/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Assets/Game/S53/UI/asset_s53_03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申诉状态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asset_s53_04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AssetsSource/S53/UI/asset_s53_04/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Assets/Game/S53/UI/asset_s53_04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risk_signal_opened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uid,session_id,entry,config_version,risk_threshold</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risk_signal_action_submitted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risk_signal_result_committed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满足开启条件，从首态推进至成功态；校验UI、权威状态、`player_risk_signal_state`与奖励/输出一致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S54｜分享、邀请与裂变传播系统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分享卡片、渠道参数、邀请关系、归因、阶梯奖励、反刷和隐私边界。”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上线阻断项：完成分享、邀请与裂变传播的权威流程、失败兜底、审计与回滚；cfg_share_channel可热修，pf_share_card具备完整空/错/加载态。</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效率增强项：自动化运营、批量处理、分群策略、可视化诊断与策略迭代，不阻塞首发但必须预留接口。</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目标：管理分享卡片、渠道参数、邀请关系、归因、阶梯奖励、反刷和隐私边界。｜层级：增长基础设施｜适用：微信/抖音小游戏、社交传播、买量产品</w:t>
      </w:r>
    </w:p>
    <w:p>
      <w:r>
        <w:rPr>
          <w:rFonts w:ascii="Hiragino Sans GB" w:hAnsi="Hiragino Sans GB" w:eastAsia="Hiragino Sans GB"/>
          <w:b w:val="0"/>
          <w:i w:val="0"/>
          <w:color w:val="20252B"/>
          <w:sz w:val="21"/>
        </w:rPr>
        <w:t>标准状态：Eligible→Composing→Shared→Attributed→Qualified→Rewarded/Rejected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cfg_share_channel版本匹配；依赖系统、资产Manifest和本地化key可用；当前状态=Eligible。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玩家从pf_share_card进入；客户端提交意图；共享规则按 `Eligible→Composing→Shared→Attributed→Qualified→Rewarded/Rejected`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`player_share_channel_state`/领域账本；广播领域事件；刷新相关UI、红点与任务；上报完成事件。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pf_share_card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pf_invite_page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pf_referral_progress</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pf_share_result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referral-rules.ts / attribution-schema.ts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share-controller.ts / invite-view.ts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pf_share_card, pf_invite_page, pf_referral_progress, pf_share_result</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referral.service.ts / attribution.service.ts / anti-abuse.service.ts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cfg_share_channel, cfg_referral_campaign, cfg_referral_reward</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attribution_window_sec</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0..30d</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604800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归因窗口</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cfg_share_channel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qualified_rule_id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有效邀请规则</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share_channel_enabled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share_channel_rule_version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player_share_channel_state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分享卡/截图模板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AssetsSource/S54/Texture/asset_s54_01/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Assets/Game/S54/Texture/asset_s54_01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邀请页</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AssetsSource/S54/UI/asset_s54_02/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Assets/Game/S54/UI/asset_s54_02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裂变进度与奖励</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AssetsSource/S54/UI/asset_s54_03/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Assets/Game/S54/UI/asset_s54_03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分享结果反馈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AssetsSource/S54/VFX/asset_s54_04/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Assets/Game/S54/VFX/asset_s54_04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share_channel_opened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uid,session_id,entry,config_version,attribution_window_sec</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share_channel_action_submitted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share_channel_result_committed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满足开启条件，从首态推进至成功态；校验UI、权威状态、`player_share_channel_state`与奖励/输出一致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S55｜网络同步、帧同步与断线重连系统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按玩法选择锁步、快照、预测回滚或权威服务器，同步输入/状态并处理抖动、丢包、重连与追帧。”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当项目确认启用时，先交付网络同步、帧同步与断线重连最短闭环、单一入口和服务端校验；未启用则记录N/A及替代方案。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补齐多渠道、多形态、自动化、个性化和运营工具，使网络同步、帧同步与断线重连可规模化复用。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目标：按玩法选择锁步、快照、预测回滚或权威服务器，同步输入/状态并处理抖动、丢包、重连与追帧。｜层级：网络基础设施｜适用：实时竞技、合作、多人房间、强一致战斗</w:t>
      </w:r>
    </w:p>
    <w:p>
      <w:r>
        <w:rPr>
          <w:rFonts w:ascii="Hiragino Sans GB" w:hAnsi="Hiragino Sans GB" w:eastAsia="Hiragino Sans GB"/>
          <w:b w:val="0"/>
          <w:i w:val="0"/>
          <w:color w:val="20252B"/>
          <w:sz w:val="21"/>
        </w:rPr>
        <w:t>标准状态：Connecting→Syncing→Running→Degraded→Reconnecting→Resyncing/Disconnected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cfg_network_mode版本匹配；依赖系统、资产Manifest和本地化key可用；当前状态=Connecting。</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玩家从pf_network_indicator进入；客户端提交意图；共享规则按 `Connecting→Syncing→Running→Degraded→Reconnecting→Resyncing/Disconnected`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`player_network_mode_state`/领域账本；广播领域事件；刷新相关UI、红点与任务；上报完成事件。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pf_network_indicator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pf_reconnect_dialog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pf_latency_debug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pf_resync_progress</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net-protocol.ts / snapshot-schema.ts / rollback-buffer.ts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network-status-view.ts / reconnect-controller.ts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pf_network_indicator, pf_reconnect_dialog, pf_latency_debug, pf_resync_progress</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session-gateway.service.ts / snapshot.service.ts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cfg_network_mode, cfg_snapshot_rate, cfg_reconnect_policy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snapshot_hz</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快照频率</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cfg_network_mode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reconnect_grace_sec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0..600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60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重连宽限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network_mode_enabled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控制S55入口和服务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network_mode_rule_version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player_network_mode_state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网络状态图标</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asset_s55_01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AssetsSource/S55/Texture/asset_s55_01/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Assets/Game/S55/Texture/asset_s55_01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重连弹窗</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asset_s55_02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AssetsSource/S55/UI/asset_s55_02/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Assets/Game/S55/UI/asset_s55_02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延迟/丢包调试层</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asset_s55_03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AssetsSource/S55/UI/asset_s55_03/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Assets/Game/S55/UI/asset_s55_03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追帧进度</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asset_s55_04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AssetsSource/S55/UI/asset_s55_04/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Assets/Game/S55/UI/asset_s55_04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network_mode_opened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uid,session_id,entry,config_version,snapshot_hz</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network_mode_action_submitted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network_mode_result_committed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满足开启条件，从首态推进至成功态；校验UI、权威状态、`player_network_mode_state`与奖励/输出一致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S56｜兑换码与礼包码系统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校验码批次、渠道、有效期、次数、账号资格和奖励事务，并提供核销与风控审计。”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当项目确认启用时，先交付兑换码与礼包码最短闭环、单一入口和服务端校验；未启用则记录N/A及替代方案。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补齐多渠道、多形态、自动化、个性化和运营工具，使兑换码与礼包码可规模化复用。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目标：校验码批次、渠道、有效期、次数、账号资格和奖励事务，并提供核销与风控审计。｜层级：市场/运营｜适用：投放、联运、直播、线下活动</w:t>
      </w:r>
    </w:p>
    <w:p>
      <w:r>
        <w:rPr>
          <w:rFonts w:ascii="Hiragino Sans GB" w:hAnsi="Hiragino Sans GB" w:eastAsia="Hiragino Sans GB"/>
          <w:b w:val="0"/>
          <w:i w:val="0"/>
          <w:color w:val="20252B"/>
          <w:sz w:val="21"/>
        </w:rPr>
        <w:t>标准状态：Idle→Input→Validating→Qualified→Granted/Rejected→Recorded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cfg_redeem_batch版本匹配；依赖系统、资产Manifest和本地化key可用；当前状态=Idle。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玩家从pf_redeem_dialog进入；客户端提交意图；共享规则按 `Idle→Input→Validating→Qualified→Granted/Rejected→Recorded`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`player_redeem_batch_state`/领域账本；广播领域事件；刷新相关UI、红点与任务；上报完成事件。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pf_redeem_dialog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pf_code_input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pf_redeem_result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redeem-code-schema.ts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redeem-controller.ts / redeem-result-view.ts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pf_redeem_dialog, pf_code_input, pf_redeem_result</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redeem.service.ts / code-batch.repository.ts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cfg_redeem_batch, cfg_redeem_reward, cfg_redeem_error</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batch_size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1..1e9</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码批次容量</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cfg_redeem_batch</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redeem_limit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1..999</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单账号核销次数</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redeem_batch_enabled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控制S56入口和服务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redeem_batch_rule_version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player_redeem_batch_state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兑换码弹窗</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asset_s56_01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AssetsSource/S56/UI/asset_s56_01/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Assets/Game/S56/UI/asset_s56_01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输入/粘贴状态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asset_s56_02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AssetsSource/S56/UI/asset_s56_02/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Assets/Game/S56/UI/asset_s56_02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成功奖励展示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asset_s56_03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AssetsSource/S56/UI/asset_s56_03/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Assets/Game/S56/UI/asset_s56_03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失败原因提示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asset_s56_04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AssetsSource/S56/UI/asset_s56_04/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Assets/Game/S56/UI/asset_s56_04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redeem_batch_opened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uid,session_id,entry,config_version,batch_size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redeem_batch_action_submitted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redeem_batch_result_committed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满足开启条件，从首态推进至成功态；校验UI、权威状态、`player_redeem_batch_state`与奖励/输出一致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S57｜客服工单与玩家反馈系统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收集问题分类、描述、附件、设备与日志，形成可分派、可追踪、可评价的客服闭环。”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当项目确认启用时，先交付客服工单与玩家反馈最短闭环、单一入口和服务端校验；未启用则记录N/A及替代方案。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补齐多渠道、多形态、自动化、个性化和运营工具，使客服工单与玩家反馈可规模化复用。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目标：收集问题分类、描述、附件、设备与日志，形成可分派、可追踪、可评价的客服闭环。｜层级：客服基础设施｜适用：长线运营、付费与复杂联网产品</w:t>
      </w:r>
    </w:p>
    <w:p>
      <w:r>
        <w:rPr>
          <w:rFonts w:ascii="Hiragino Sans GB" w:hAnsi="Hiragino Sans GB" w:eastAsia="Hiragino Sans GB"/>
          <w:b w:val="0"/>
          <w:i w:val="0"/>
          <w:color w:val="20252B"/>
          <w:sz w:val="21"/>
        </w:rPr>
        <w:t>标准状态：Draft→Submitted→Triaged→Assigned→Responded→Resolved/Reopened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cfg_ticket_category版本匹配；依赖系统、资产Manifest和本地化key可用；当前状态=Draft。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玩家从pf_support_center进入；客户端提交意图；共享规则按 `Draft→Submitted→Triaged→Assigned→Responded→Resolved/Reopened`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`player_ticket_category_state`/领域账本；广播领域事件；刷新相关UI、红点与任务；上报完成事件。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pf_support_center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pf_ticket_form</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pf_ticket_timeline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pf_feedback_rating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ticket-schema.ts / attachment-policy.ts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support-controller.ts / ticket-view.ts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pf_support_center, pf_ticket_form, pf_ticket_timeline, pf_feedback_rating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support.service.ts / ticket-routing.service.ts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cfg_ticket_category, cfg_ticket_sla, cfg_support_entry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sla_hours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1..720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24</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响应SLA</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cfg_ticket_category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attachment_mb</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附件上限</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ticket_category_enabled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控制S57入口和服务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ticket_category_rule_version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player_ticket_category_state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客服中心</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asset_s57_01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AssetsSource/S57/UI/asset_s57_01/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Assets/Game/S57/UI/asset_s57_01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工单提交表单</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asset_s57_02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AssetsSource/S57/UI/asset_s57_02/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Assets/Game/S57/UI/asset_s57_02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处理时间线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asset_s57_03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AssetsSource/S57/UI/asset_s57_03/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Assets/Game/S57/UI/asset_s57_03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满意度评价</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asset_s57_04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AssetsSource/S57/UI/asset_s57_04/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Assets/Game/S57/UI/asset_s57_04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ticket_category_opened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uid,session_id,entry,config_version,sla_hours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ticket_category_action_submitted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ticket_category_result_committed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满足开启条件，从首态推进至成功态；校验UI、权威状态、`player_ticket_category_state`与奖励/输出一致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S58｜推送通知与召回系统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在权限、频控、时区和用户偏好约束下发送本地/远程通知，并闭环到达、点击和转化。”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当项目确认启用时，先交付推送通知与召回最短闭环、单一入口和服务端校验；未启用则记录N/A及替代方案。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补齐多渠道、多形态、自动化、个性化和运营工具，使推送通知与召回可规模化复用。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目标：在权限、频控、时区和用户偏好约束下发送本地/远程通知，并闭环到达、点击和转化。｜层级：增长/运营基础设施｜适用：移动端、小游戏订阅消息、长线运营</w:t>
      </w:r>
    </w:p>
    <w:p>
      <w:r>
        <w:rPr>
          <w:rFonts w:ascii="Hiragino Sans GB" w:hAnsi="Hiragino Sans GB" w:eastAsia="Hiragino Sans GB"/>
          <w:b w:val="0"/>
          <w:i w:val="0"/>
          <w:color w:val="20252B"/>
          <w:sz w:val="21"/>
        </w:rPr>
        <w:t>标准状态：Draft→Eligible→Scheduled→Sent→Delivered→Opened/Expired/Suppressed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cfg_notification_template版本匹配；依赖系统、资产Manifest和本地化key可用；当前状态=Draft。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玩家从pf_push_permission进入；客户端提交意图；共享规则按 `Draft→Eligible→Scheduled→Sent→Delivered→Opened/Expired/Suppressed`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`player_notification_template_state`/领域账本；广播领域事件；刷新相关UI、红点与任务；上报完成事件。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pf_push_permission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pf_notification_preview</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pf_notification_setting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notification-schema.ts / frequency-cap.ts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notification-permission-view.ts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pf_push_permission, pf_notification_preview, pf_notification_setting</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push.service.ts / notification-worker.ts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cfg_notification_template, cfg_notification_trigger, cfg_notification_cap</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daily_cap</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每日通知上限</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cfg_notification_template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quiet_hour_start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uint8</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22</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免打扰开始</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notification_template_enabled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控制S58入口和服务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notification_template_rule_version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player_notification_template_state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推送授权说明</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asset_s58_01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AssetsSource/S58/UI/asset_s58_01/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Assets/Game/S58/UI/asset_s58_01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消息预览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asset_s58_02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AssetsSource/S58/UI/asset_s58_02/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Assets/Game/S58/UI/asset_s58_02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通知偏好设置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asset_s58_03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AssetsSource/S58/UI/asset_s58_03/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Assets/Game/S58/UI/asset_s58_03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跳转落地页反馈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asset_s58_04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AssetsSource/S58/VFX/asset_s58_04/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Assets/Game/S58/VFX/asset_s58_04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notification_template_opened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uid,session_id,entry,config_version,daily_cap</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notification_template_action_submitted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notification_template_result_committed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满足开启条件，从首态推进至成功态；校验UI、权威状态、`player_notification_template_state`与奖励/输出一致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S59｜装扮、外观、称号与头像框系统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统一管理皮肤、染色、挂件、称号、头像框的获得、试穿、装配、展示优先级和过期。”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当项目确认启用时，先交付装扮、外观、称号与头像框最短闭环、单一入口和服务端校验；未启用则记录N/A及替代方案。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补齐多渠道、多形态、自动化、个性化和运营工具，使装扮、外观、称号与头像框可规模化复用。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目标：统一管理皮肤、染色、挂件、称号、头像框的获得、试穿、装配、展示优先级和过期。｜层级：成长/商业化｜适用：角色收集、社交展示、赛季奖励</w:t>
      </w:r>
    </w:p>
    <w:p>
      <w:r>
        <w:rPr>
          <w:rFonts w:ascii="Hiragino Sans GB" w:hAnsi="Hiragino Sans GB" w:eastAsia="Hiragino Sans GB"/>
          <w:b w:val="0"/>
          <w:i w:val="0"/>
          <w:color w:val="20252B"/>
          <w:sz w:val="21"/>
        </w:rPr>
        <w:t>标准状态：Locked→Previewable→Owned→Equipped/Unequipped→Expired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cfg_cosmetic版本匹配；依赖系统、资产Manifest和本地化key可用；当前状态=Locked。</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玩家从pf_wardrobe_page进入；客户端提交意图；共享规则按 `Locked→Previewable→Owned→Equipped/Unequipped→Expired`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`player_cosmetic_state`/领域账本；广播领域事件；刷新相关UI、红点与任务；上报完成事件。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pf_wardrobe_page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pf_cosmetic_cell</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列表/网格复用单元；图标、名称、状态、数量/进度、点击热区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选中/禁用/锁定/可领取/过期状态明确；长按或二次点击进入详情</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pf_character_preview</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pf_title_frame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cosmetic-schema.ts / equip-rules.ts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wardrobe-controller.ts / preview-view.ts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pf_wardrobe_page, pf_cosmetic_cell, pf_character_preview, pf_title_frame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cosmetic.service.ts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cfg_cosmetic, cfg_cosmetic_slot, cfg_cosmetic_set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slot_type</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enum</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skin/title/frame/...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skin</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外观槽位</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cfg_cosmetic</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expire_sec</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0表示永久</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cosmetic_enabled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控制S59入口和服务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cosmetic_rule_version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player_cosmetic_state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外观缩略图</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asset_s59_01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AssetsSource/S59/Texture/asset_s59_01/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Assets/Game/S59/Texture/asset_s59_01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试穿/角色预览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asset_s59_02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AssetsSource/S59/UI/asset_s59_02/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Assets/Game/S59/UI/asset_s59_02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称号/头像框</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asset_s59_03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AssetsSource/S59/Texture/asset_s59_03/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Assets/Game/S59/Texture/asset_s59_03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解锁与装备反馈</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asset_s59_04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粒子/VFX Prefab；移动端≤100粒子/实例、≤2材质、透明Overdraw受控；30/60fps验证</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AssetsSource/S59/VFX/asset_s59_04/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Assets/Game/S59/VFX/asset_s59_04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cosmetic_opened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uid,session_id,entry,config_version,slot_type</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cosmetic_action_submitted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cosmetic_result_committed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满足开启条件，从首态推进至成功态；校验UI、权威状态、`player_cosmetic_state`与奖励/输出一致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S60｜隐私合规与权限聚合系统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聚合隐私政策、同意记录、SDK清单、权限用途、撤回、注销、数据导出与删除流程。”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当项目确认启用时，先交付隐私合规与权限聚合最短闭环、单一入口和服务端校验；未启用则记录N/A及替代方案。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补齐多渠道、多形态、自动化、个性化和运营工具，使隐私合规与权限聚合可规模化复用。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目标：聚合隐私政策、同意记录、SDK清单、权限用途、撤回、注销、数据导出与删除流程。｜层级：合规基础设施｜适用：所有采集个人信息或调用系统权限的产品</w:t>
      </w:r>
    </w:p>
    <w:p>
      <w:r>
        <w:rPr>
          <w:rFonts w:ascii="Hiragino Sans GB" w:hAnsi="Hiragino Sans GB" w:eastAsia="Hiragino Sans GB"/>
          <w:b w:val="0"/>
          <w:i w:val="0"/>
          <w:color w:val="20252B"/>
          <w:sz w:val="21"/>
        </w:rPr>
        <w:t>标准状态：Unknown→Disclosed→Consented/Declined→Granted/Denied→Withdrawn/Deleted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cfg_privacy_notice版本匹配；依赖系统、资产Manifest和本地化key可用；当前状态=Unknown。</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玩家从pf_privacy_center进入；客户端提交意图；共享规则按 `Unknown→Disclosed→Consented/Declined→Granted/Denied→Withdrawn/Deleted`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`player_privacy_notice_state`/领域账本；广播领域事件；刷新相关UI、红点与任务；上报完成事件。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pf_privacy_center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pf_consent_dialog</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pf_permission_explain</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pf_account_delete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consent-schema.ts / permission-policy.ts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privacy-center.ts / permission-view.ts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pf_privacy_center, pf_consent_dialog, pf_permission_explain, pf_account_delete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consent.service.ts / privacy-request.service.ts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cfg_privacy_notice, cfg_permission_purpose, cfg_sdk_disclosure</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consent_version</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1..32</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同意文本版本</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cfg_privacy_notice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retention_days</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0..3650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365</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数据保留期</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privacy_notice_enabled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控制S60入口和服务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privacy_notice_rule_version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player_privacy_notice_state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隐私中心</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asset_s60_01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AssetsSource/S60/UI/asset_s60_01/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Assets/Game/S60/UI/asset_s60_01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同意/更新弹窗</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asset_s60_02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AssetsSource/S60/UI/asset_s60_02/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Assets/Game/S60/UI/asset_s60_02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权限用途说明</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asset_s60_03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AssetsSource/S60/UI/asset_s60_03/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Assets/Game/S60/UI/asset_s60_03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注销与数据请求页</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asset_s60_04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AssetsSource/S60/UI/asset_s60_04/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Assets/Game/S60/UI/asset_s60_04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privacy_notice_opened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uid,session_id,entry,config_version,consent_version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privacy_notice_action_submitted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privacy_notice_result_committed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满足开启条件，从首态推进至成功态；校验UI、权威状态、`player_privacy_notice_state`与奖励/输出一致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S61｜寻路、导航与路线引导系统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管理NavMesh/网格、动态障碍、路径成本、局部避障、目标导航、路线重算和不可达反馈。”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当项目确认启用时，先交付寻路、导航与路线引导最短闭环、单一入口和服务端校验；未启用则记录N/A及替代方案。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补齐多渠道、多形态、自动化、个性化和运营工具，使寻路、导航与路线引导可规模化复用。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目标：管理NavMesh/网格、动态障碍、路径成本、局部避障、目标导航、路线重算和不可达反馈。｜层级：核心/内容｜适用：RPG、SLG、RTS、生存、开放地图、城建</w:t>
      </w:r>
    </w:p>
    <w:p>
      <w:r>
        <w:rPr>
          <w:rFonts w:ascii="Hiragino Sans GB" w:hAnsi="Hiragino Sans GB" w:eastAsia="Hiragino Sans GB"/>
          <w:b w:val="0"/>
          <w:i w:val="0"/>
          <w:color w:val="20252B"/>
          <w:sz w:val="21"/>
        </w:rPr>
        <w:t>标准状态：Idle→Requesting→Calculating→Following→Repathing→Arrived/Blocked/Cancelled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cfg_navigation_area版本匹配；依赖系统、资产Manifest和本地化key可用；当前状态=Idle。</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玩家从pf_navmesh_debug进入；客户端提交意图；共享规则按 `Idle→Requesting→Calculating→Following→Repathing→Arrived/Blocked/Cancelled`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`player_navigation_area_state`/领域账本；广播领域事件；刷新相关UI、红点与任务；上报完成事件。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pf_navmesh_debug</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pf_route_line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pf_destination_marker</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HUD安全区或入口角标；不遮挡核心操作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随领域事件增量刷新；高频变化节流；弱网下显示最后可信状态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pf_unreachable_notice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居中模态层；标题/说明/主体/主次按钮四区</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打开锁定背景输入；提交中禁用主按钮；Esc/返回按风险确认</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navigation-graph.ts / path-cost.ts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navigation-controller.ts / route-view.ts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pf_navmesh_debug, pf_route_line, pf_destination_marker, pf_unreachable_notice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path-query.service.ts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cfg_navigation_area, cfg_path_cost, cfg_repath_policy</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repath_interval_ms</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50..10000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重算间隔</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cfg_navigation_area</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node_budget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1..1e7</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5000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单次搜索节点预算</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navigation_area_enabled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控制S61入口和服务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navigation_area_rule_version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player_navigation_area_state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路线与目的地标记</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asset_s61_01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AssetsSource/S61/UI/asset_s61_01/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Assets/Game/S61/UI/asset_s61_01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NavMesh调试层</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asset_s61_02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AssetsSource/S61/UI/asset_s61_02/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Assets/Game/S61/UI/asset_s61_02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不可达提示</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asset_s61_03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AssetsSource/S61/UI/asset_s61_03/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Assets/Game/S61/UI/asset_s61_03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自动寻路状态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asset_s61_04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AssetsSource/S61/UI/asset_s61_04/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Assets/Game/S61/UI/asset_s61_04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navigation_area_opened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uid,session_id,entry,config_version,repath_interval_ms</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navigation_area_action_submitted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navigation_area_result_committed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主线程增量≤2ms/帧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满足开启条件，从首态推进至成功态；校验UI、权威状态、`player_navigation_area_state`与奖励/输出一致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S62｜版本发布、CI/CD与上架审核系统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串联构建、签名、自动测试、制品、灰度、商店素材与审核、回滚和版本公告。”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当项目确认启用时，先交付版本发布、CI/CD与上架审核最短闭环、单一入口和服务端校验；未启用则记录N/A及替代方案。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补齐多渠道、多形态、自动化、个性化和运营工具，使版本发布、CI/CD与上架审核可规模化复用。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目标：串联构建、签名、自动测试、制品、灰度、商店素材与审核、回滚和版本公告。｜层级：研发/发布基础设施｜适用：所有持续发布产品</w:t>
      </w:r>
    </w:p>
    <w:p>
      <w:r>
        <w:rPr>
          <w:rFonts w:ascii="Hiragino Sans GB" w:hAnsi="Hiragino Sans GB" w:eastAsia="Hiragino Sans GB"/>
          <w:b w:val="0"/>
          <w:i w:val="0"/>
          <w:color w:val="20252B"/>
          <w:sz w:val="21"/>
        </w:rPr>
        <w:t>标准状态：Commit→Build→Test→Sign→Stage→Submit→Approved/Rejected→Release/Rollback</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cfg_release_channel版本匹配；依赖系统、资产Manifest和本地化key可用；当前状态=Commit。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玩家从pf_release_dashboard进入；客户端提交意图；共享规则按 `Commit→Build→Test→Sign→Stage→Submit→Approved/Rejected→Release/Rollback`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`player_release_channel_state`/领域账本；广播领域事件；刷新相关UI、红点与任务；上报完成事件。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pf_release_dashboard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pf_build_artifact</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pf_store_checklist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pf_release_gate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build-manifest.ts / release-schema.ts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release-status-view.ts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pf_release_dashboard, pf_build_artifact, pf_store_checklist, pf_release_gate</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release-orchestrator.service.ts / store-submit.service.ts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cfg_release_channel, cfg_build_profile, cfg_store_requirement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min_test_pass_pct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10000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测试通过万分比</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cfg_release_channel</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rollout_pct</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0..10000</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发布比例</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release_channel_enabled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控制S62入口和服务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release_channel_rule_version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player_release_channel_state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发布看板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asset_s62_01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AssetsSource/S62/UI/asset_s62_01/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Assets/Game/S62/UI/asset_s62_01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构建制品状态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asset_s62_02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AssetsSource/S62/UI/asset_s62_02/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Assets/Game/S62/UI/asset_s62_02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上架检查清单</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asset_s62_03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AssetsSource/S62/UI/asset_s62_03/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Assets/Game/S62/UI/asset_s62_03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闸门/回滚提示</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asset_s62_04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AssetsSource/S62/UI/asset_s62_04/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Assets/Game/S62/UI/asset_s62_04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release_channel_opened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uid,session_id,entry,config_version,min_test_pass_pct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release_channel_action_submitted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release_channel_result_committed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满足开启条件，从首态推进至成功态；校验UI、权威状态、`player_release_channel_state`与奖励/输出一致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S63｜关卡设计与难度曲线文档系统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把关卡目标、教学点、空间/波次、资源投放、节奏、难度、失败原因和验证数据结构化。”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当项目确认启用时，先交付关卡设计与难度曲线文档最短闭环、单一入口和服务端校验；未启用则记录N/A及替代方案。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补齐多渠道、多形态、自动化、个性化和运营工具，使关卡设计与难度曲线文档可规模化复用。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目标：把关卡目标、教学点、空间/波次、资源投放、节奏、难度、失败原因和验证数据结构化。｜层级：内容生产｜适用：关卡制、波次制、谜题、战斗、三消、塔防</w:t>
      </w:r>
    </w:p>
    <w:p>
      <w:r>
        <w:rPr>
          <w:rFonts w:ascii="Hiragino Sans GB" w:hAnsi="Hiragino Sans GB" w:eastAsia="Hiragino Sans GB"/>
          <w:b w:val="0"/>
          <w:i w:val="0"/>
          <w:color w:val="20252B"/>
          <w:sz w:val="21"/>
        </w:rPr>
        <w:t>标准状态：Concept→Blockout→Playable→Tuned→Validated→Published/Retired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cfg_level_design版本匹配；依赖系统、资产Manifest和本地化key可用；当前状态=Concept。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玩家从pf_level_design_sheet进入；客户端提交意图；共享规则按 `Concept→Blockout→Playable→Tuned→Validated→Published/Retired`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`player_level_design_state`/领域账本；广播领域事件；刷新相关UI、红点与任务；上报完成事件。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pf_level_design_sheet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pf_wave_timeline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pf_difficulty_curve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pf_heatmap_overlay</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level-design-schema.ts / difficulty-model.ts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level-authoring-view.ts / heatmap-view.ts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pf_level_design_sheet, pf_wave_timeline, pf_difficulty_curve, pf_heatmap_overlay</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level-content.service.ts / level-metric.service.ts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cfg_level_design, cfg_difficulty_curve, cfg_level_budget</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target_duration_sec</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1..86400</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300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目标时长</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cfg_level_design</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target_fail_rate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float</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0.25</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目标失败率</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level_design_enabled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控制S63入口和服务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level_design_rule_version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player_level_design_state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关卡布局/缩略图</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asset_s63_01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源PSD/Figma；PNG/WebP；图标512²、Banner按16:9/2:1/竖版三档；sRGB与安全区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AssetsSource/S63/Texture/asset_s63_01/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Assets/Game/S63/Texture/asset_s63_01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波次与节奏时间轴</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asset_s63_02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AssetsSource/S63/UI/asset_s63_02/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Assets/Game/S63/UI/asset_s63_02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难度曲线</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asset_s63_03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AssetsSource/S63/UI/asset_s63_03/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Assets/Game/S63/UI/asset_s63_03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热力图/失败点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asset_s63_04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AssetsSource/S63/UI/asset_s63_04/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Assets/Game/S63/UI/asset_s63_04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level_design_opened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uid,session_id,entry,config_version,target_duration_sec</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level_design_action_submitted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level_design_result_committed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满足开启条件，从首态推进至成功态；校验UI、权威状态、`player_level_design_state`与奖励/输出一致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2"/>
      </w:pPr>
      <w:r>
        <w:t>S64｜术语表、变更记录与决策日志系统</w:t>
      </w: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策划判断  </w:t>
            </w:r>
            <w:r>
              <w:rPr>
                <w:rFonts w:ascii="Hiragino Sans GB" w:hAnsi="Hiragino Sans GB" w:eastAsia="Hiragino Sans GB"/>
                <w:b w:val="0"/>
                <w:i w:val="0"/>
                <w:color w:val="20252B"/>
                <w:sz w:val="21"/>
              </w:rPr>
              <w:t>先记录竞品可见事实与证据ID，再判断其解决的玩家问题；将“维护唯一术语、字段语义、版本变更、兼容影响、迁移方案和关键设计决策，避免口径漂移。”拆成可迁移机制，不得照搬竞品数值、命名、界面或内容。若该机制不能改善本项目核心循环、目标指标或生产效率，则标记N/A。</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8280"/>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范围</w:t>
            </w:r>
          </w:p>
        </w:tc>
        <w:tc>
          <w:tcPr>
            <w:tcW w:type="dxa" w:w="82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7"/>
              </w:rPr>
              <w:t>策划开发要求</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P0</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当项目确认启用时，先交付术语表、变更记录与决策日志最短闭环、单一入口和服务端校验；未启用则记录N/A及替代方案。</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P1</w:t>
            </w:r>
          </w:p>
        </w:tc>
        <w:tc>
          <w:tcPr>
            <w:tcW w:type="dxa" w:w="82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补齐多渠道、多形态、自动化、个性化和运营工具，使术语表、变更记录与决策日志可规模化复用。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7"/>
              </w:rPr>
              <w:t>非目标</w:t>
            </w:r>
          </w:p>
        </w:tc>
        <w:tc>
          <w:tcPr>
            <w:tcW w:type="dxa" w:w="82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7"/>
              </w:rPr>
              <w:t>不复制竞品专有数值、UI皮肤、角色/剧情/关卡内容；不因类型惯例自动启用。</w:t>
            </w:r>
          </w:p>
        </w:tc>
      </w:tr>
    </w:tbl>
    <w:p>
      <w:pPr>
        <w:spacing w:after="40"/>
      </w:pPr>
    </w:p>
    <w:p>
      <w:r>
        <w:rPr>
          <w:rFonts w:ascii="Hiragino Sans GB" w:hAnsi="Hiragino Sans GB" w:eastAsia="Hiragino Sans GB"/>
          <w:b w:val="0"/>
          <w:i w:val="0"/>
          <w:color w:val="20252B"/>
          <w:sz w:val="21"/>
        </w:rPr>
        <w:t>目标：维护唯一术语、字段语义、版本变更、兼容影响、迁移方案和关键设计决策，避免口径漂移。｜层级：研发治理｜适用：跨团队、长周期、AI协作项目</w:t>
      </w:r>
    </w:p>
    <w:p>
      <w:r>
        <w:rPr>
          <w:rFonts w:ascii="Hiragino Sans GB" w:hAnsi="Hiragino Sans GB" w:eastAsia="Hiragino Sans GB"/>
          <w:b w:val="0"/>
          <w:i w:val="0"/>
          <w:color w:val="20252B"/>
          <w:sz w:val="21"/>
        </w:rPr>
        <w:t>标准状态：Draft→Review→Approved→Published→Superseded/Deprecated</w:t>
      </w:r>
    </w:p>
    <w:p>
      <w:pPr>
        <w:pStyle w:val="Heading3"/>
      </w:pPr>
      <w:r>
        <w:t>A. 功能开启、前置、操作与后置</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296"/>
        <w:gridCol w:w="5256"/>
        <w:gridCol w:w="2808"/>
      </w:tblGrid>
      <w:tr>
        <w:trPr>
          <w:tblHeader w:val="true"/>
          <w:cantSplit/>
        </w:trPr>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阶段</w:t>
            </w:r>
          </w:p>
        </w:tc>
        <w:tc>
          <w:tcPr>
            <w:tcW w:type="dxa" w:w="52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策划规格</w:t>
            </w:r>
          </w:p>
        </w:tc>
        <w:tc>
          <w:tcPr>
            <w:tcW w:type="dxa" w:w="28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客户端/服务器边界</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开启条件</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FeatureSwitch开启；玩家满足平台/地区/账号资格；入口所在主系统已加载。</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客户端只展示可见入口；服务器/本地权威端最终判定。</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功能前置</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cfg_glossary版本匹配；依赖系统、资产Manifest和本地化key可用；当前状态=Draft。</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缺配置、依赖或版本不一致时返回稳定错误码并降级。</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核心操作</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玩家从pf_glossary_page进入；客户端提交意图；共享规则按 `Draft→Review→Approved→Published→Superseded/Deprecated` 推进；权威端执行幂等校验、事务/RNG并生成结果。</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任何奖励、胜负、概率、库存和资格均不得由客户端裁决。</w:t>
            </w:r>
          </w:p>
        </w:tc>
      </w:tr>
      <w:tr>
        <w:trPr>
          <w:cantSplit/>
        </w:trPr>
        <w:tc>
          <w:tcPr>
            <w:tcW w:type="dxa" w:w="129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后置条件</w:t>
            </w:r>
          </w:p>
        </w:tc>
        <w:tc>
          <w:tcPr>
            <w:tcW w:type="dxa" w:w="52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权威状态写入 `player_glossary_state`/领域账本；广播领域事件；刷新相关UI、红点与任务；上报完成事件。</w:t>
            </w:r>
          </w:p>
        </w:tc>
        <w:tc>
          <w:tcPr>
            <w:tcW w:type="dxa" w:w="28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成功、失败、取消、超时和重试都必须形成可审计结果。</w:t>
            </w:r>
          </w:p>
        </w:tc>
      </w:tr>
      <w:tr>
        <w:trPr>
          <w:cantSplit/>
        </w:trPr>
        <w:tc>
          <w:tcPr>
            <w:tcW w:type="dxa" w:w="129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异常/恢复</w:t>
            </w:r>
          </w:p>
        </w:tc>
        <w:tc>
          <w:tcPr>
            <w:tcW w:type="dxa" w:w="52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重复请求返回首次结果；断线后按request_id恢复；配置撤回时使用快照完成当前事务；资源缺失走fallback。</w:t>
            </w:r>
          </w:p>
        </w:tc>
        <w:tc>
          <w:tcPr>
            <w:tcW w:type="dxa" w:w="28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保证状态不重复、资产不丢失、表现可降级。</w:t>
            </w:r>
          </w:p>
        </w:tc>
      </w:tr>
    </w:tbl>
    <w:p>
      <w:pPr>
        <w:spacing w:after="40"/>
      </w:pPr>
    </w:p>
    <w:p>
      <w:pPr>
        <w:pStyle w:val="Heading3"/>
      </w:pPr>
      <w:r>
        <w:t>B. UI界面、按钮、布局与交互状态</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728"/>
        <w:gridCol w:w="936"/>
        <w:gridCol w:w="2952"/>
        <w:gridCol w:w="2520"/>
        <w:gridCol w:w="1224"/>
      </w:tblGrid>
      <w:tr>
        <w:trPr>
          <w:tblHeader w:val="true"/>
          <w:cantSplit/>
        </w:trPr>
        <w:tc>
          <w:tcPr>
            <w:tcW w:type="dxa" w:w="172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界面/元素</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归属</w:t>
            </w:r>
          </w:p>
        </w:tc>
        <w:tc>
          <w:tcPr>
            <w:tcW w:type="dxa" w:w="29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布局与元素</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操作规则</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必备状态</w:t>
            </w:r>
          </w:p>
        </w:tc>
      </w:tr>
      <w:tr>
        <w:trPr>
          <w:cantSplit/>
        </w:trPr>
        <w:tc>
          <w:tcPr>
            <w:tcW w:type="dxa" w:w="172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pf_glossary_page</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全屏或主面板；顶部标题与资源区，中部列表/画布，底部主操作</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支持滚动/筛选/空态/错误态；返回时保留筛选与滚动位置</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pf_changelog_timeline</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pf_decision_record</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w:t>
            </w:r>
          </w:p>
        </w:tc>
        <w:tc>
          <w:tcPr>
            <w:tcW w:type="dxa" w:w="29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业务场景根节点或表现组件；按安全区与层级挂载</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进入预加载，退出释放；表现失败不改变权威状态</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Loading/Empty/Normal/Disabled/Error/Offline</w:t>
            </w:r>
          </w:p>
        </w:tc>
      </w:tr>
      <w:tr>
        <w:trPr>
          <w:cantSplit/>
        </w:trPr>
        <w:tc>
          <w:tcPr>
            <w:tcW w:type="dxa" w:w="172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导航与按钮规则</w:t>
            </w:r>
          </w:p>
        </w:tc>
        <w:tc>
          <w:tcPr>
            <w:tcW w:type="dxa" w:w="93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客户端+策划</w:t>
            </w:r>
          </w:p>
        </w:tc>
        <w:tc>
          <w:tcPr>
            <w:tcW w:type="dxa" w:w="295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主按钮右下/底部固定；危险操作二次确认；返回键遵循页面栈</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按钮文案用动词；点击热区≥44pt；提交态显示进度并防连点</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首次/回流/未解锁/红点/权限拒绝</w:t>
            </w:r>
          </w:p>
        </w:tc>
      </w:tr>
    </w:tbl>
    <w:p>
      <w:pPr>
        <w:spacing w:after="40"/>
      </w:pPr>
    </w:p>
    <w:p>
      <w:pPr>
        <w:pStyle w:val="Heading3"/>
      </w:pPr>
      <w:r>
        <w:t>C. 脚本、Prefab挂载与权威归属</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368"/>
        <w:gridCol w:w="2520"/>
        <w:gridCol w:w="2448"/>
        <w:gridCol w:w="3024"/>
      </w:tblGrid>
      <w:tr>
        <w:trPr>
          <w:tblHeader w:val="true"/>
          <w:cantSplit/>
        </w:trPr>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端/对象</w:t>
            </w:r>
          </w:p>
        </w:tc>
        <w:tc>
          <w:tcPr>
            <w:tcW w:type="dxa" w:w="25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脚本或模块</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挂载位置</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职责与禁区</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共享规则</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glossary-schema.ts / changelog-schema.ts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SimulationRoot/DomainRegistry；不挂渲染对象</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状态机、校验、公式与错误码；禁止UI/HTTP/数据库依赖</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spec-history-view.ts</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pf_glossary_page, pf_changelog_timeline, pf_decision_record</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入口、操作采集、预测/预览、UI与资源表现；禁止写权威资产和结果</w:t>
            </w:r>
          </w:p>
        </w:tc>
      </w:tr>
      <w:tr>
        <w:trPr>
          <w:cantSplit/>
        </w:trPr>
        <w:tc>
          <w:tcPr>
            <w:tcW w:type="dxa" w:w="1368"/>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服务器/本地权威端</w:t>
            </w:r>
          </w:p>
        </w:tc>
        <w:tc>
          <w:tcPr>
            <w:tcW w:type="dxa" w:w="25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spec-registry.service.ts</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ServerModule/MatchRoom/Worker；无渲染Prefab</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资格、事务、RNG、库存、账本、存档、风控、审计和回滚</w:t>
            </w:r>
          </w:p>
        </w:tc>
      </w:tr>
      <w:tr>
        <w:trPr>
          <w:cantSplit/>
        </w:trPr>
        <w:tc>
          <w:tcPr>
            <w:tcW w:type="dxa" w:w="1368"/>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配置/内容</w:t>
            </w:r>
          </w:p>
        </w:tc>
        <w:tc>
          <w:tcPr>
            <w:tcW w:type="dxa" w:w="25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cfg_glossary, cfg_changelog, cfg_decision_log</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ConfigRegistry/ConfigService/运营后台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Schema校验、版本快照、外键、范围、灰度与回滚</w:t>
            </w:r>
          </w:p>
        </w:tc>
      </w:tr>
    </w:tbl>
    <w:p>
      <w:pPr>
        <w:spacing w:after="40"/>
      </w:pPr>
    </w:p>
    <w:p>
      <w:pPr>
        <w:pStyle w:val="Heading3"/>
      </w:pPr>
      <w:r>
        <w:t>D. 表结构：新增表与原表新增字段/值</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512"/>
        <w:gridCol w:w="1656"/>
        <w:gridCol w:w="1008"/>
        <w:gridCol w:w="1224"/>
        <w:gridCol w:w="792"/>
        <w:gridCol w:w="1512"/>
        <w:gridCol w:w="720"/>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变更</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表</w:t>
            </w:r>
          </w:p>
        </w:tc>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字段</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类型</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范围</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默认</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校验/外键</w:t>
            </w:r>
          </w:p>
        </w:tc>
        <w:tc>
          <w:tcPr>
            <w:tcW w:type="dxa" w:w="72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归属</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&gt;0，主键</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唯一；禁止复用</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服务器+客户端只读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enabled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关闭时入口和服务均不可用</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name_key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必须存在于cfg_localization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unlock_rule_id</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0..2^32-1</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0=无条件；FK cfg_unlock_rule.id</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服务器权威/客户端预览</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asset_id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FK cfg_asset_manifest.asset_id</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sort_order</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int32</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-1e6..1e6</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0</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同值再按id升序</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客户端表现</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term_key</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string</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1..128</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唯一术语键</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cfg_glossary</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breaking_change</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是否破坏兼容</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服务器权威/客户端按需只读</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cfg_feature_switch</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glossary_enabled</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bool</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true/false</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false</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控制S64入口和服务</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服务器权威</w:t>
            </w:r>
          </w:p>
        </w:tc>
      </w:tr>
      <w:tr>
        <w:trPr>
          <w:cantSplit/>
        </w:trPr>
        <w:tc>
          <w:tcPr>
            <w:tcW w:type="dxa" w:w="936"/>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原表加字段</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cfg_unlock_rule</w:t>
            </w:r>
          </w:p>
        </w:tc>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glossary_rule_version</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uint16</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1..65535</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1</w:t>
            </w:r>
          </w:p>
        </w:tc>
        <w:tc>
          <w:tcPr>
            <w:tcW w:type="dxa" w:w="151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规则变更必须升版本</w:t>
            </w:r>
          </w:p>
        </w:tc>
        <w:tc>
          <w:tcPr>
            <w:tcW w:type="dxa" w:w="72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共享校验</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新增表</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player_glossary_state</w:t>
            </w:r>
          </w:p>
        </w:tc>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uid/state/progress/version/updated_at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composite</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按字段Schema</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uid+业务id唯一；乐观锁version</w:t>
            </w:r>
          </w:p>
        </w:tc>
        <w:tc>
          <w:tcPr>
            <w:tcW w:type="dxa" w:w="72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服务器写/客户端只读</w:t>
            </w:r>
          </w:p>
        </w:tc>
      </w:tr>
    </w:tbl>
    <w:p>
      <w:pPr>
        <w:spacing w:after="40"/>
      </w:pPr>
    </w:p>
    <w:p>
      <w:pPr>
        <w:pStyle w:val="Heading3"/>
      </w:pPr>
      <w:r>
        <w:t>E. 资源需求：规格、源文件与运行路径</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224"/>
        <w:gridCol w:w="1080"/>
        <w:gridCol w:w="2088"/>
        <w:gridCol w:w="1440"/>
        <w:gridCol w:w="1368"/>
        <w:gridCol w:w="1008"/>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资源</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制作/运行归属</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asset_id</w:t>
            </w:r>
          </w:p>
        </w:tc>
        <w:tc>
          <w:tcPr>
            <w:tcW w:type="dxa" w:w="208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规格</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源文件路径</w:t>
            </w:r>
          </w:p>
        </w:tc>
        <w:tc>
          <w:tcPr>
            <w:tcW w:type="dxa" w:w="136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运行路径</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服务器控制</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术语索引</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asset_s64_01</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AssetsSource/S64/UI/asset_s64_01/</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Assets/Game/S64/UI/asset_s64_01</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变更时间线</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asset_s64_02</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AssetsSource/S64/UI/asset_s64_02/</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Assets/Game/S64/UI/asset_s64_02</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影响标签</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asset_s64_03</w:t>
            </w:r>
          </w:p>
        </w:tc>
        <w:tc>
          <w:tcPr>
            <w:tcW w:type="dxa" w:w="208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AssetsSource/S64/UI/asset_s64_03/</w:t>
            </w:r>
          </w:p>
        </w:tc>
        <w:tc>
          <w:tcPr>
            <w:tcW w:type="dxa" w:w="136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Assets/Game/S64/UI/asset_s64_03</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3"/>
              </w:rPr>
              <w:t>决策记录卡</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客户端/美术/音频/TA</w:t>
            </w:r>
          </w:p>
        </w:tc>
        <w:tc>
          <w:tcPr>
            <w:tcW w:type="dxa" w:w="108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asset_s64_04</w:t>
            </w:r>
          </w:p>
        </w:tc>
        <w:tc>
          <w:tcPr>
            <w:tcW w:type="dxa" w:w="208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源PSD/Figma；runtime PNG/WebP/Atlas；9-slice边距明确；@1x/@2x/@3x与安全区</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AssetsSource/S64/UI/asset_s64_04/</w:t>
            </w:r>
          </w:p>
        </w:tc>
        <w:tc>
          <w:tcPr>
            <w:tcW w:type="dxa" w:w="136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Assets/Game/S64/UI/asset_s64_04</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服务器仅保存asset_id/hash/bundle/version/fallback</w:t>
            </w:r>
          </w:p>
        </w:tc>
      </w:tr>
    </w:tbl>
    <w:p>
      <w:pPr>
        <w:spacing w:after="40"/>
      </w:pPr>
    </w:p>
    <w:p>
      <w:pPr>
        <w:pStyle w:val="Heading3"/>
      </w:pPr>
      <w:r>
        <w:t>F. 本系统埋点事件清单</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656"/>
        <w:gridCol w:w="1800"/>
        <w:gridCol w:w="3096"/>
        <w:gridCol w:w="1584"/>
        <w:gridCol w:w="1224"/>
      </w:tblGrid>
      <w:tr>
        <w:trPr>
          <w:tblHeader w:val="true"/>
          <w:cantSplit/>
        </w:trPr>
        <w:tc>
          <w:tcPr>
            <w:tcW w:type="dxa" w:w="165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触发时机</w:t>
            </w:r>
          </w:p>
        </w:tc>
        <w:tc>
          <w:tcPr>
            <w:tcW w:type="dxa" w:w="30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字段</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用途</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来源</w:t>
            </w:r>
          </w:p>
        </w:tc>
      </w:tr>
      <w:tr>
        <w:trPr>
          <w:cantSplit/>
        </w:trPr>
        <w:tc>
          <w:tcPr>
            <w:tcW w:type="dxa" w:w="165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glossary_opened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入口可见后首次进入成功</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uid,session_id,entry,config_version,term_key</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漏斗起点/入口转化</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客户端发起；服务端会话校验</w:t>
            </w:r>
          </w:p>
        </w:tc>
      </w:tr>
      <w:tr>
        <w:trPr>
          <w:cantSplit/>
        </w:trPr>
        <w:tc>
          <w:tcPr>
            <w:tcW w:type="dxa" w:w="165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glossary_action_submitted</w:t>
            </w:r>
          </w:p>
        </w:tc>
        <w:tc>
          <w:tcPr>
            <w:tcW w:type="dxa" w:w="180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主操作通过本地校验并发送</w:t>
            </w:r>
          </w:p>
        </w:tc>
        <w:tc>
          <w:tcPr>
            <w:tcW w:type="dxa" w:w="30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uid,request_id,action,state_from,state_to,result_code</w:t>
            </w:r>
          </w:p>
        </w:tc>
        <w:tc>
          <w:tcPr>
            <w:tcW w:type="dxa" w:w="15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操作率/失败原因/幂等</w:t>
            </w:r>
          </w:p>
        </w:tc>
        <w:tc>
          <w:tcPr>
            <w:tcW w:type="dxa" w:w="12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客户端+服务端对账</w:t>
            </w:r>
          </w:p>
        </w:tc>
      </w:tr>
      <w:tr>
        <w:trPr>
          <w:cantSplit/>
        </w:trPr>
        <w:tc>
          <w:tcPr>
            <w:tcW w:type="dxa" w:w="165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glossary_result_committed</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权威端事务提交或最终失败</w:t>
            </w:r>
          </w:p>
        </w:tc>
        <w:tc>
          <w:tcPr>
            <w:tcW w:type="dxa" w:w="30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uid,request_id,result_code,duration_ms,reward_delta,config_version</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完成率/耗时/经济影响</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服务器权威</w:t>
            </w:r>
          </w:p>
        </w:tc>
      </w:tr>
    </w:tbl>
    <w:p>
      <w:pPr>
        <w:spacing w:after="40"/>
      </w:pPr>
    </w:p>
    <w:p>
      <w:pPr>
        <w:pStyle w:val="Heading3"/>
      </w:pPr>
      <w:r>
        <w:t>G. 性能指标与预算</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1296"/>
        <w:gridCol w:w="3384"/>
        <w:gridCol w:w="3240"/>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指标</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归属</w:t>
            </w:r>
          </w:p>
        </w:tc>
        <w:tc>
          <w:tcPr>
            <w:tcW w:type="dxa" w:w="33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目标值</w:t>
            </w:r>
          </w:p>
        </w:tc>
        <w:tc>
          <w:tcPr>
            <w:tcW w:type="dxa" w:w="32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验收方式</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客户端帧预算</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打开后稳态≤1ms/帧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Profiler P95；低端机30fps无连续3帧卡顿</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界面打开/首反馈</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首反馈≤100ms；可交互≤300ms（冷资源≤1.5s）</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自动化计时+真机P95</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内存/资源</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客户端+资源管线</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系统常驻≤12MB；单次临时峰值≤30MB；退出后90%可回收</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内存快照；资源引用泄漏=0</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网络</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客户端+服务器</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单请求≤16KB；P95往返≤200ms；超时/重试可配置</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弱网2%丢包/200ms RTT验证</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服务端</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w:t>
            </w:r>
          </w:p>
        </w:tc>
        <w:tc>
          <w:tcPr>
            <w:tcW w:type="dxa" w:w="33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接口P95≤150ms；错误率&lt;0.1%；幂等重复不增加资产</w:t>
            </w:r>
          </w:p>
        </w:tc>
        <w:tc>
          <w:tcPr>
            <w:tcW w:type="dxa" w:w="32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压测+账本核对+并发冲突测试</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包体/下载</w:t>
            </w:r>
          </w:p>
        </w:tc>
        <w:tc>
          <w:tcPr>
            <w:tcW w:type="dxa" w:w="129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资源管线</w:t>
            </w:r>
          </w:p>
        </w:tc>
        <w:tc>
          <w:tcPr>
            <w:tcW w:type="dxa" w:w="33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P0资源进首包或首场景分包；单系统增量目标≤5MB</w:t>
            </w:r>
          </w:p>
        </w:tc>
        <w:tc>
          <w:tcPr>
            <w:tcW w:type="dxa" w:w="32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构建报告；超预算需负责人豁免</w:t>
            </w:r>
          </w:p>
        </w:tc>
      </w:tr>
    </w:tbl>
    <w:p>
      <w:pPr>
        <w:spacing w:after="40"/>
      </w:pPr>
    </w:p>
    <w:p>
      <w:pPr>
        <w:pStyle w:val="Heading3"/>
      </w:pPr>
      <w:r>
        <w:t>H. QA测试与验收红线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976"/>
        <w:gridCol w:w="792"/>
        <w:gridCol w:w="1440"/>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类型</w:t>
            </w:r>
          </w:p>
        </w:tc>
        <w:tc>
          <w:tcPr>
            <w:tcW w:type="dxa" w:w="59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用例/预期</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级别</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负责人</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功能主链</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满足开启条件，从首态推进至成功态；校验UI、权威状态、`player_glossary_state`与奖励/输出一致</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前置/边界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未解锁、配置关闭、空数据、上下限、时间边界、重复点击、取消与过期均返回明确状态</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并发/幂等</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同一request_id重复10次、双端同时操作、事务中断重试，结果仅提交一次且账本可追溯</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服务器+QA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兼容/资源</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旧存档、旧配置、弱网、断线重连、缺asset/文案、低端机和多语言长文本均可降级</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客户端+QA</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埋点/性能</w:t>
            </w:r>
          </w:p>
        </w:tc>
        <w:tc>
          <w:tcPr>
            <w:tcW w:type="dxa" w:w="59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三类事件字段齐全且客户端/服务端可对账；P95指标、内存、包体和带宽满足预算</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P0</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数据+性能QA</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P1体验</w:t>
            </w:r>
          </w:p>
        </w:tc>
        <w:tc>
          <w:tcPr>
            <w:tcW w:type="dxa" w:w="59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快捷操作、批量、自动化、个性化与辅助功能不破坏P0主链，关闭P1开关仍可完整运行</w:t>
            </w:r>
          </w:p>
        </w:tc>
        <w:tc>
          <w:tcPr>
            <w:tcW w:type="dxa" w:w="792"/>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P1</w:t>
            </w:r>
          </w:p>
        </w:tc>
        <w:tc>
          <w:tcPr>
            <w:tcW w:type="dxa" w:w="1440"/>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策划+QA</w:t>
            </w:r>
          </w:p>
        </w:tc>
      </w:tr>
    </w:tbl>
    <w:p>
      <w:pPr>
        <w:spacing w:after="40"/>
      </w:pPr>
    </w:p>
    <w:tbl>
      <w:tblPr>
        <w:tblW w:type="dxa" w:w="9360"/>
        <w:jc w:val="left"/>
        <w:tblLayout w:type="fixed"/>
        <w:tblLook w:firstColumn="1" w:firstRow="1" w:lastColumn="0" w:lastRow="0" w:noHBand="0" w:noVBand="1" w:val="04A0"/>
        <w:tblBorders>
          <w:top w:val="single" w:sz="2" w:color="F4F6F9" w:space="0"/>
          <w:left w:val="single" w:sz="2" w:color="F4F6F9" w:space="0"/>
          <w:bottom w:val="single" w:sz="2" w:color="F4F6F9" w:space="0"/>
          <w:right w:val="single" w:sz="2" w:color="F4F6F9" w:space="0"/>
          <w:insideH w:val="single" w:sz="2" w:color="F4F6F9" w:space="0"/>
          <w:insideV w:val="single" w:sz="2" w:color="F4F6F9" w:space="0"/>
        </w:tblBorders>
        <w:tblInd w:w="120" w:type="dxa"/>
      </w:tblPr>
      <w:tblGrid>
        <w:gridCol w:w="9360"/>
      </w:tblGrid>
      <w:tr>
        <w:trPr>
          <w:cantSplit/>
        </w:trPr>
        <w:tc>
          <w:tcPr>
            <w:tcW w:type="dxa" w:w="9360"/>
            <w:shd w:fill="F4F6F9"/>
            <w:tcMar>
              <w:top w:w="140" w:type="dxa"/>
              <w:start w:w="180" w:type="dxa"/>
              <w:bottom w:w="140" w:type="dxa"/>
              <w:end w:w="180" w:type="dxa"/>
            </w:tcMar>
          </w:tcPr>
          <w:p>
            <w:pPr>
              <w:spacing w:after="0"/>
            </w:pPr>
            <w:r>
              <w:rPr>
                <w:rFonts w:ascii="Hiragino Sans GB" w:hAnsi="Hiragino Sans GB" w:eastAsia="Hiragino Sans GB"/>
                <w:b/>
                <w:i w:val="0"/>
                <w:color w:val="223A5E"/>
                <w:sz w:val="21"/>
              </w:rPr>
              <w:t xml:space="preserve">系统DoD  </w:t>
            </w:r>
            <w:r>
              <w:rPr>
                <w:rFonts w:ascii="Hiragino Sans GB" w:hAnsi="Hiragino Sans GB" w:eastAsia="Hiragino Sans GB"/>
                <w:b w:val="0"/>
                <w:i w:val="0"/>
                <w:color w:val="20252B"/>
                <w:sz w:val="21"/>
              </w:rPr>
              <w:t>P0主链、失败/恢复、Schema、权威归属、资源fallback、三类埋点、性能预算和P0用例全部通过；P1可独立关闭；竞品事实、推断、适配和非目标有记录。</w:t>
            </w:r>
          </w:p>
        </w:tc>
      </w:tr>
    </w:tbl>
    <w:p>
      <w:pPr>
        <w:spacing w:after="40"/>
      </w:pPr>
    </w:p>
    <w:p>
      <w:r>
        <w:br w:type="page"/>
      </w:r>
    </w:p>
    <w:p>
      <w:pPr>
        <w:pStyle w:val="Heading1"/>
      </w:pPr>
      <w:r>
        <w:t>8. 数值与平衡工作表（D01）</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1440"/>
        <w:gridCol w:w="1008"/>
        <w:gridCol w:w="864"/>
        <w:gridCol w:w="1152"/>
        <w:gridCol w:w="936"/>
        <w:gridCol w:w="936"/>
        <w:gridCol w:w="1080"/>
        <w:gridCol w:w="792"/>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对象/版本</w:t>
            </w:r>
          </w:p>
        </w:tc>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公式或曲线</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输入范围</w:t>
            </w:r>
          </w:p>
        </w:tc>
        <w:tc>
          <w:tcPr>
            <w:tcW w:type="dxa" w:w="86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预期值</w:t>
            </w:r>
          </w:p>
        </w:tc>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P10/P50/P90</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Source</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Sink</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验证数据</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3"/>
              </w:rPr>
              <w:t>结论/动作</w:t>
            </w:r>
          </w:p>
        </w:tc>
      </w:tr>
      <w:tr>
        <w:trPr>
          <w:cantSplit/>
        </w:trPr>
        <w:tc>
          <w:tcPr>
            <w:tcW w:type="dxa" w:w="11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&lt;system/object/v1&gt;</w:t>
            </w:r>
          </w:p>
        </w:tc>
        <w:tc>
          <w:tcPr>
            <w:tcW w:type="dxa" w:w="144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&lt;formula_id/expression&gt;</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&lt;min..max&gt;</w:t>
            </w:r>
          </w:p>
        </w:tc>
        <w:tc>
          <w:tcPr>
            <w:tcW w:type="dxa" w:w="8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&lt;target&gt;</w:t>
            </w:r>
          </w:p>
        </w:tc>
        <w:tc>
          <w:tcPr>
            <w:tcW w:type="dxa" w:w="115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&lt;.../.../...&gt;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&lt;产出入口/日&gt;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&lt;消耗入口/日&gt;</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&lt;样本量/分群/日期&gt;</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3"/>
              </w:rPr>
              <w:t>&lt;保持/调整/回滚&gt;</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152"/>
        <w:gridCol w:w="5184"/>
        <w:gridCol w:w="3024"/>
      </w:tblGrid>
      <w:tr>
        <w:trPr>
          <w:tblHeader w:val="true"/>
          <w:cantSplit/>
        </w:trPr>
        <w:tc>
          <w:tcPr>
            <w:tcW w:type="dxa" w:w="115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经济检查</w:t>
            </w:r>
          </w:p>
        </w:tc>
        <w:tc>
          <w:tcPr>
            <w:tcW w:type="dxa" w:w="51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定义</w:t>
            </w:r>
          </w:p>
        </w:tc>
        <w:tc>
          <w:tcPr>
            <w:tcW w:type="dxa" w:w="30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红线</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守恒</w:t>
            </w:r>
          </w:p>
        </w:tc>
        <w:tc>
          <w:tcPr>
            <w:tcW w:type="dxa" w:w="51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总发放=到账+失败回滚；总消耗=成功消耗+退款</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任何资产无账本增减=阻断上线</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通胀</w:t>
            </w:r>
          </w:p>
        </w:tc>
        <w:tc>
          <w:tcPr>
            <w:tcW w:type="dxa" w:w="51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存量、日净增、持有分布、价格覆盖天数</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核心货币P50存量连续7日超目标20%需调参</w:t>
            </w:r>
          </w:p>
        </w:tc>
      </w:tr>
      <w:tr>
        <w:trPr>
          <w:cantSplit/>
        </w:trPr>
        <w:tc>
          <w:tcPr>
            <w:tcW w:type="dxa" w:w="1152"/>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成长</w:t>
            </w:r>
          </w:p>
        </w:tc>
        <w:tc>
          <w:tcPr>
            <w:tcW w:type="dxa" w:w="51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目标天数、日增量、阶段卡点、付费加速比</w:t>
            </w:r>
          </w:p>
        </w:tc>
        <w:tc>
          <w:tcPr>
            <w:tcW w:type="dxa" w:w="30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P0进度断层或无付费玩家不可达=阻断</w:t>
            </w:r>
          </w:p>
        </w:tc>
      </w:tr>
      <w:tr>
        <w:trPr>
          <w:cantSplit/>
        </w:trPr>
        <w:tc>
          <w:tcPr>
            <w:tcW w:type="dxa" w:w="1152"/>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战斗</w:t>
            </w:r>
          </w:p>
        </w:tc>
        <w:tc>
          <w:tcPr>
            <w:tcW w:type="dxa" w:w="518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TTK、胜率、选择率、伤害构成、反制窗口</w:t>
            </w:r>
          </w:p>
        </w:tc>
        <w:tc>
          <w:tcPr>
            <w:tcW w:type="dxa" w:w="302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同段位单选项选择率&gt;60%且胜率偏离&gt;5pp需复核</w:t>
            </w:r>
          </w:p>
        </w:tc>
      </w:tr>
    </w:tbl>
    <w:p>
      <w:pPr>
        <w:spacing w:after="40"/>
      </w:pPr>
    </w:p>
    <w:p>
      <w:pPr>
        <w:pStyle w:val="Heading1"/>
      </w:pPr>
      <w:r>
        <w:t>9. 跨系统集成与数据流模板</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1584"/>
        <w:gridCol w:w="1080"/>
        <w:gridCol w:w="936"/>
        <w:gridCol w:w="1224"/>
        <w:gridCol w:w="1512"/>
        <w:gridCol w:w="1080"/>
        <w:gridCol w:w="864"/>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上游系统</w:t>
            </w:r>
          </w:p>
        </w:tc>
        <w:tc>
          <w:tcPr>
            <w:tcW w:type="dxa" w:w="158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事件/协议</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下游系统</w:t>
            </w:r>
          </w:p>
        </w:tc>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同步/异步</w:t>
            </w:r>
          </w:p>
        </w:tc>
        <w:tc>
          <w:tcPr>
            <w:tcW w:type="dxa" w:w="122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幂等键</w:t>
            </w:r>
          </w:p>
        </w:tc>
        <w:tc>
          <w:tcPr>
            <w:tcW w:type="dxa" w:w="151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失败补偿</w:t>
            </w:r>
          </w:p>
        </w:tc>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配置版本</w:t>
            </w:r>
          </w:p>
        </w:tc>
        <w:tc>
          <w:tcPr>
            <w:tcW w:type="dxa" w:w="86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负责人</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&lt;Sxx&gt;</w:t>
            </w:r>
          </w:p>
        </w:tc>
        <w:tc>
          <w:tcPr>
            <w:tcW w:type="dxa" w:w="158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&lt;domain_event/API&gt;</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&lt;Syy&gt;</w:t>
            </w:r>
          </w:p>
        </w:tc>
        <w:tc>
          <w:tcPr>
            <w:tcW w:type="dxa" w:w="93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&lt;sync/async&gt;</w:t>
            </w:r>
          </w:p>
        </w:tc>
        <w:tc>
          <w:tcPr>
            <w:tcW w:type="dxa" w:w="122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&lt;request_id&gt;</w:t>
            </w:r>
          </w:p>
        </w:tc>
        <w:tc>
          <w:tcPr>
            <w:tcW w:type="dxa" w:w="151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&lt;retry/rollback/mail&gt;</w:t>
            </w:r>
          </w:p>
        </w:tc>
        <w:tc>
          <w:tcPr>
            <w:tcW w:type="dxa" w:w="108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&lt;version&gt;</w:t>
            </w:r>
          </w:p>
        </w:tc>
        <w:tc>
          <w:tcPr>
            <w:tcW w:type="dxa" w:w="8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&lt;client/server/planner&gt;</w:t>
            </w:r>
          </w:p>
        </w:tc>
      </w:tr>
    </w:tbl>
    <w:p>
      <w:pPr>
        <w:spacing w:after="40"/>
      </w:pPr>
    </w:p>
    <w:p>
      <w:pPr>
        <w:pStyle w:val="Heading1"/>
      </w:pPr>
      <w:r>
        <w:t>10. 全局资源路径与命名规范</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080"/>
        <w:gridCol w:w="1944"/>
        <w:gridCol w:w="2016"/>
        <w:gridCol w:w="1944"/>
        <w:gridCol w:w="2376"/>
      </w:tblGrid>
      <w:tr>
        <w:trPr>
          <w:tblHeader w:val="true"/>
          <w:cantSplit/>
        </w:trPr>
        <w:tc>
          <w:tcPr>
            <w:tcW w:type="dxa" w:w="108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对象</w:t>
            </w:r>
          </w:p>
        </w:tc>
        <w:tc>
          <w:tcPr>
            <w:tcW w:type="dxa" w:w="194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命名</w:t>
            </w:r>
          </w:p>
        </w:tc>
        <w:tc>
          <w:tcPr>
            <w:tcW w:type="dxa" w:w="201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源文件路径</w:t>
            </w:r>
          </w:p>
        </w:tc>
        <w:tc>
          <w:tcPr>
            <w:tcW w:type="dxa" w:w="194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运行路径</w:t>
            </w:r>
          </w:p>
        </w:tc>
        <w:tc>
          <w:tcPr>
            <w:tcW w:type="dxa" w:w="237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4"/>
              </w:rPr>
              <w:t>校验</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代码</w:t>
            </w:r>
          </w:p>
        </w:tc>
        <w:tc>
          <w:tcPr>
            <w:tcW w:type="dxa" w:w="194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&lt;domain&gt;-rules.ts / &lt;feature&gt;-controller.ts / &lt;module&gt;.service.ts</w:t>
            </w:r>
          </w:p>
        </w:tc>
        <w:tc>
          <w:tcPr>
            <w:tcW w:type="dxa" w:w="201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Packages/&lt;Domain&gt;/Source/</w:t>
            </w:r>
          </w:p>
        </w:tc>
        <w:tc>
          <w:tcPr>
            <w:tcW w:type="dxa" w:w="194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Packages/&lt;Domain&gt;/Runtime/</w:t>
            </w:r>
          </w:p>
        </w:tc>
        <w:tc>
          <w:tcPr>
            <w:tcW w:type="dxa" w:w="23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lint+typecheck+依赖方向</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Prefab</w:t>
            </w:r>
          </w:p>
        </w:tc>
        <w:tc>
          <w:tcPr>
            <w:tcW w:type="dxa" w:w="194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pf_&lt;module&gt;_&lt;element&gt;_&lt;variant&gt;</w:t>
            </w:r>
          </w:p>
        </w:tc>
        <w:tc>
          <w:tcPr>
            <w:tcW w:type="dxa" w:w="201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AssetsSource/&lt;S-ID&gt;/Prefab/</w:t>
            </w:r>
          </w:p>
        </w:tc>
        <w:tc>
          <w:tcPr>
            <w:tcW w:type="dxa" w:w="194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Assets/Game/&lt;S-ID&gt;/Prefab/</w:t>
            </w:r>
          </w:p>
        </w:tc>
        <w:tc>
          <w:tcPr>
            <w:tcW w:type="dxa" w:w="23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丢失引用=0；Pivot/Layer/状态齐全</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纹理/UI</w:t>
            </w:r>
          </w:p>
        </w:tc>
        <w:tc>
          <w:tcPr>
            <w:tcW w:type="dxa" w:w="194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asset_&lt;sid&gt;_&lt;type&gt;_&lt;name&gt;_&lt;state&gt;_&lt;quality&gt;</w:t>
            </w:r>
          </w:p>
        </w:tc>
        <w:tc>
          <w:tcPr>
            <w:tcW w:type="dxa" w:w="201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AssetsSource/&lt;S-ID&gt;/Texture|UI/</w:t>
            </w:r>
          </w:p>
        </w:tc>
        <w:tc>
          <w:tcPr>
            <w:tcW w:type="dxa" w:w="194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Assets/Game/&lt;S-ID&gt;/Texture|UI/</w:t>
            </w:r>
          </w:p>
        </w:tc>
        <w:tc>
          <w:tcPr>
            <w:tcW w:type="dxa" w:w="23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尺寸/alpha/sRGB/Atlas/9-slice</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音频</w:t>
            </w:r>
          </w:p>
        </w:tc>
        <w:tc>
          <w:tcPr>
            <w:tcW w:type="dxa" w:w="194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aud_&lt;sid&gt;_&lt;bus&gt;_&lt;cue&gt;_&lt;variant&gt;</w:t>
            </w:r>
          </w:p>
        </w:tc>
        <w:tc>
          <w:tcPr>
            <w:tcW w:type="dxa" w:w="201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AssetsSource/&lt;S-ID&gt;/Audio/</w:t>
            </w:r>
          </w:p>
        </w:tc>
        <w:tc>
          <w:tcPr>
            <w:tcW w:type="dxa" w:w="194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Assets/Game/&lt;S-ID&gt;/Audio/</w:t>
            </w:r>
          </w:p>
        </w:tc>
        <w:tc>
          <w:tcPr>
            <w:tcW w:type="dxa" w:w="23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48kHz/24bit、LUFS、循环点、字幕key</w:t>
            </w:r>
          </w:p>
        </w:tc>
      </w:tr>
      <w:tr>
        <w:trPr>
          <w:cantSplit/>
        </w:trPr>
        <w:tc>
          <w:tcPr>
            <w:tcW w:type="dxa" w:w="108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视频</w:t>
            </w:r>
          </w:p>
        </w:tc>
        <w:tc>
          <w:tcPr>
            <w:tcW w:type="dxa" w:w="194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vid_&lt;sid&gt;_&lt;scene&gt;_&lt;locale&gt;_&lt;quality&gt;</w:t>
            </w:r>
          </w:p>
        </w:tc>
        <w:tc>
          <w:tcPr>
            <w:tcW w:type="dxa" w:w="201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AssetsSource/&lt;S-ID&gt;/Video/</w:t>
            </w:r>
          </w:p>
        </w:tc>
        <w:tc>
          <w:tcPr>
            <w:tcW w:type="dxa" w:w="194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Assets/Game/&lt;S-ID&gt;/Video/</w:t>
            </w:r>
          </w:p>
        </w:tc>
        <w:tc>
          <w:tcPr>
            <w:tcW w:type="dxa" w:w="237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分辨率/码率/时长/字幕/降级封面</w:t>
            </w:r>
          </w:p>
        </w:tc>
      </w:tr>
      <w:tr>
        <w:trPr>
          <w:cantSplit/>
        </w:trPr>
        <w:tc>
          <w:tcPr>
            <w:tcW w:type="dxa" w:w="108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4"/>
              </w:rPr>
              <w:t>配置</w:t>
            </w:r>
          </w:p>
        </w:tc>
        <w:tc>
          <w:tcPr>
            <w:tcW w:type="dxa" w:w="194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cfg_&lt;domain&gt; / player_&lt;domain&gt;_state</w:t>
            </w:r>
          </w:p>
        </w:tc>
        <w:tc>
          <w:tcPr>
            <w:tcW w:type="dxa" w:w="201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DesignData/Schema/</w:t>
            </w:r>
          </w:p>
        </w:tc>
        <w:tc>
          <w:tcPr>
            <w:tcW w:type="dxa" w:w="194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Config/&lt;version&gt;/&lt;platform&gt;/</w:t>
            </w:r>
          </w:p>
        </w:tc>
        <w:tc>
          <w:tcPr>
            <w:tcW w:type="dxa" w:w="2376"/>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4"/>
              </w:rPr>
              <w:t>Schema/范围/外键/版本/回滚</w:t>
            </w:r>
          </w:p>
        </w:tc>
      </w:tr>
      <w:tr>
        <w:tc>
          <w:tcPr>
            <w:tcW w:type="dxa" w:w="1080"/>
          </w:tcPr>
          <w:p>
            <w:r/>
            <w:r>
              <w:rPr>
                <w:rFonts w:ascii="Microsoft YaHei" w:hAnsi="Microsoft YaHei" w:eastAsia="Microsoft YaHei"/>
                <w:sz w:val="18"/>
              </w:rPr>
              <w:t>文案key</w:t>
            </w:r>
          </w:p>
        </w:tc>
        <w:tc>
          <w:tcPr>
            <w:tcW w:type="dxa" w:w="1944"/>
          </w:tcPr>
          <w:p>
            <w:r/>
            <w:r>
              <w:rPr>
                <w:rFonts w:ascii="Microsoft YaHei" w:hAnsi="Microsoft YaHei" w:eastAsia="Microsoft YaHei"/>
                <w:sz w:val="18"/>
              </w:rPr>
              <w:t>text.&lt;module&gt;.&lt;screen&gt;.&lt;element&gt;.&lt;state&gt;</w:t>
            </w:r>
          </w:p>
        </w:tc>
        <w:tc>
          <w:tcPr>
            <w:tcW w:type="dxa" w:w="2016"/>
          </w:tcPr>
          <w:p>
            <w:r/>
            <w:r>
              <w:rPr>
                <w:rFonts w:ascii="Microsoft YaHei" w:hAnsi="Microsoft YaHei" w:eastAsia="Microsoft YaHei"/>
                <w:sz w:val="18"/>
              </w:rPr>
              <w:t>DesignData/L10n/Source/</w:t>
            </w:r>
          </w:p>
        </w:tc>
        <w:tc>
          <w:tcPr>
            <w:tcW w:type="dxa" w:w="1944"/>
          </w:tcPr>
          <w:p>
            <w:r/>
            <w:r>
              <w:rPr>
                <w:rFonts w:ascii="Microsoft YaHei" w:hAnsi="Microsoft YaHei" w:eastAsia="Microsoft YaHei"/>
                <w:sz w:val="18"/>
              </w:rPr>
              <w:t>Config/&lt;version&gt;/&lt;platform&gt;/l10n/</w:t>
            </w:r>
          </w:p>
        </w:tc>
        <w:tc>
          <w:tcPr>
            <w:tcW w:type="dxa" w:w="2376"/>
          </w:tcPr>
          <w:p>
            <w:r/>
            <w:r>
              <w:rPr>
                <w:rFonts w:ascii="Microsoft YaHei" w:hAnsi="Microsoft YaHei" w:eastAsia="Microsoft YaHei"/>
                <w:sz w:val="18"/>
              </w:rPr>
              <w:t>缺失显示key并上报；参数/复数/长度校验</w:t>
            </w:r>
          </w:p>
        </w:tc>
      </w:tr>
      <w:tr>
        <w:tc>
          <w:tcPr>
            <w:tcW w:type="dxa" w:w="1080"/>
          </w:tcPr>
          <w:p>
            <w:r/>
            <w:r>
              <w:rPr>
                <w:rFonts w:ascii="Microsoft YaHei" w:hAnsi="Microsoft YaHei" w:eastAsia="Microsoft YaHei"/>
                <w:sz w:val="18"/>
              </w:rPr>
              <w:t>埋点事件</w:t>
            </w:r>
          </w:p>
        </w:tc>
        <w:tc>
          <w:tcPr>
            <w:tcW w:type="dxa" w:w="1944"/>
          </w:tcPr>
          <w:p>
            <w:r/>
            <w:r>
              <w:rPr>
                <w:rFonts w:ascii="Microsoft YaHei" w:hAnsi="Microsoft YaHei" w:eastAsia="Microsoft YaHei"/>
                <w:sz w:val="18"/>
              </w:rPr>
              <w:t>&lt;domain&gt;_&lt;object&gt;_&lt;past_tense&gt;</w:t>
            </w:r>
          </w:p>
        </w:tc>
        <w:tc>
          <w:tcPr>
            <w:tcW w:type="dxa" w:w="2016"/>
          </w:tcPr>
          <w:p>
            <w:r/>
            <w:r>
              <w:rPr>
                <w:rFonts w:ascii="Microsoft YaHei" w:hAnsi="Microsoft YaHei" w:eastAsia="Microsoft YaHei"/>
                <w:sz w:val="18"/>
              </w:rPr>
              <w:t>Packages/&lt;Domain&gt;/Analytics/Source/</w:t>
            </w:r>
          </w:p>
        </w:tc>
        <w:tc>
          <w:tcPr>
            <w:tcW w:type="dxa" w:w="1944"/>
          </w:tcPr>
          <w:p>
            <w:r/>
            <w:r>
              <w:rPr>
                <w:rFonts w:ascii="Microsoft YaHei" w:hAnsi="Microsoft YaHei" w:eastAsia="Microsoft YaHei"/>
                <w:sz w:val="18"/>
              </w:rPr>
              <w:t>Runtime上报SDK</w:t>
            </w:r>
          </w:p>
        </w:tc>
        <w:tc>
          <w:tcPr>
            <w:tcW w:type="dxa" w:w="2376"/>
          </w:tcPr>
          <w:p>
            <w:r/>
            <w:r>
              <w:rPr>
                <w:rFonts w:ascii="Microsoft YaHei" w:hAnsi="Microsoft YaHei" w:eastAsia="Microsoft YaHei"/>
                <w:sz w:val="18"/>
              </w:rPr>
              <w:t>事件Schema版本化；客户端+服务器对账</w:t>
            </w:r>
          </w:p>
        </w:tc>
      </w:tr>
      <w:tr>
        <w:tc>
          <w:tcPr>
            <w:tcW w:type="dxa" w:w="1080"/>
          </w:tcPr>
          <w:p>
            <w:r/>
            <w:r>
              <w:rPr>
                <w:rFonts w:ascii="Microsoft YaHei" w:hAnsi="Microsoft YaHei" w:eastAsia="Microsoft YaHei"/>
                <w:sz w:val="18"/>
              </w:rPr>
              <w:t>公共资源</w:t>
            </w:r>
          </w:p>
        </w:tc>
        <w:tc>
          <w:tcPr>
            <w:tcW w:type="dxa" w:w="1944"/>
          </w:tcPr>
          <w:p>
            <w:r/>
            <w:r>
              <w:rPr>
                <w:rFonts w:ascii="Microsoft YaHei" w:hAnsi="Microsoft YaHei" w:eastAsia="Microsoft YaHei"/>
                <w:sz w:val="18"/>
              </w:rPr>
              <w:t>asset_common_&lt;type&gt;_&lt;name&gt;</w:t>
            </w:r>
          </w:p>
        </w:tc>
        <w:tc>
          <w:tcPr>
            <w:tcW w:type="dxa" w:w="2016"/>
          </w:tcPr>
          <w:p>
            <w:r/>
            <w:r>
              <w:rPr>
                <w:rFonts w:ascii="Microsoft YaHei" w:hAnsi="Microsoft YaHei" w:eastAsia="Microsoft YaHei"/>
                <w:sz w:val="18"/>
              </w:rPr>
              <w:t>AssetsSource/Common/&lt;Type&gt;/</w:t>
            </w:r>
          </w:p>
        </w:tc>
        <w:tc>
          <w:tcPr>
            <w:tcW w:type="dxa" w:w="1944"/>
          </w:tcPr>
          <w:p>
            <w:r/>
            <w:r>
              <w:rPr>
                <w:rFonts w:ascii="Microsoft YaHei" w:hAnsi="Microsoft YaHei" w:eastAsia="Microsoft YaHei"/>
                <w:sz w:val="18"/>
              </w:rPr>
              <w:t>Assets/Game/Common/&lt;Type&gt;/</w:t>
            </w:r>
          </w:p>
        </w:tc>
        <w:tc>
          <w:tcPr>
            <w:tcW w:type="dxa" w:w="2376"/>
          </w:tcPr>
          <w:p>
            <w:r/>
            <w:r>
              <w:rPr>
                <w:rFonts w:ascii="Microsoft YaHei" w:hAnsi="Microsoft YaHei" w:eastAsia="Microsoft YaHei"/>
                <w:sz w:val="18"/>
              </w:rPr>
              <w:t>引用计数=0时回收；无孤儿资源</w:t>
            </w:r>
          </w:p>
        </w:tc>
      </w:tr>
    </w:tbl>
    <w:p>
      <w:pPr>
        <w:spacing w:after="40"/>
      </w:pPr>
    </w:p>
    <w:p>
      <w:pPr>
        <w:pStyle w:val="Heading1"/>
      </w:pPr>
      <w:r>
        <w:t>11. 术语、变更记录与最终DoD</w:t>
      </w: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1440"/>
        <w:gridCol w:w="4464"/>
        <w:gridCol w:w="2448"/>
        <w:gridCol w:w="1008"/>
      </w:tblGrid>
      <w:tr>
        <w:trPr>
          <w:tblHeader w:val="true"/>
          <w:cantSplit/>
        </w:trPr>
        <w:tc>
          <w:tcPr>
            <w:tcW w:type="dxa" w:w="144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术语</w:t>
            </w:r>
          </w:p>
        </w:tc>
        <w:tc>
          <w:tcPr>
            <w:tcW w:type="dxa" w:w="446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权威定义</w:t>
            </w:r>
          </w:p>
        </w:tc>
        <w:tc>
          <w:tcPr>
            <w:tcW w:type="dxa" w:w="244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禁止混用</w:t>
            </w:r>
          </w:p>
        </w:tc>
        <w:tc>
          <w:tcPr>
            <w:tcW w:type="dxa" w:w="1008"/>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6"/>
              </w:rPr>
              <w:t>所有者</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权威端</w:t>
            </w:r>
          </w:p>
        </w:tc>
        <w:tc>
          <w:tcPr>
            <w:tcW w:type="dxa" w:w="44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最终决定资格、状态、RNG、资产和结果的一端</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客户端预测/表现不可称权威</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服务器负责人</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竞品事实</w:t>
            </w:r>
          </w:p>
        </w:tc>
        <w:tc>
          <w:tcPr>
            <w:tcW w:type="dxa" w:w="44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可被来源与版本证据支持的观察</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不得把模板脚本/Prefab写成竞品事实</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研究负责人</w:t>
            </w:r>
          </w:p>
        </w:tc>
      </w:tr>
      <w:tr>
        <w:trPr>
          <w:cantSplit/>
        </w:trPr>
        <w:tc>
          <w:tcPr>
            <w:tcW w:type="dxa" w:w="1440"/>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P0</w:t>
            </w:r>
          </w:p>
        </w:tc>
        <w:tc>
          <w:tcPr>
            <w:tcW w:type="dxa" w:w="446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上线/合规/资产安全/核心闭环阻断项</w:t>
            </w:r>
          </w:p>
        </w:tc>
        <w:tc>
          <w:tcPr>
            <w:tcW w:type="dxa" w:w="244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不是“先做的全部需求”</w:t>
            </w:r>
          </w:p>
        </w:tc>
        <w:tc>
          <w:tcPr>
            <w:tcW w:type="dxa" w:w="1008"/>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制作人/主策</w:t>
            </w:r>
          </w:p>
        </w:tc>
      </w:tr>
      <w:tr>
        <w:trPr>
          <w:cantSplit/>
        </w:trPr>
        <w:tc>
          <w:tcPr>
            <w:tcW w:type="dxa" w:w="1440"/>
            <w:shd w:fill="F7F9FB"/>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6"/>
              </w:rPr>
              <w:t>P1</w:t>
            </w:r>
          </w:p>
        </w:tc>
        <w:tc>
          <w:tcPr>
            <w:tcW w:type="dxa" w:w="4464"/>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P0稳定后的深度、效率、增长与体验增强</w:t>
            </w:r>
          </w:p>
        </w:tc>
        <w:tc>
          <w:tcPr>
            <w:tcW w:type="dxa" w:w="244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必须可关闭且不破坏P0</w:t>
            </w:r>
          </w:p>
        </w:tc>
        <w:tc>
          <w:tcPr>
            <w:tcW w:type="dxa" w:w="1008"/>
            <w:shd w:fill="F7F9FB"/>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6"/>
              </w:rPr>
              <w:t>系统策划</w:t>
            </w:r>
          </w:p>
        </w:tc>
      </w:tr>
    </w:tbl>
    <w:p>
      <w:pPr>
        <w:spacing w:after="40"/>
      </w:pPr>
    </w:p>
    <w:tbl>
      <w:tblPr>
        <w:tblW w:type="dxa" w:w="9360"/>
        <w:jc w:val="left"/>
        <w:tblLayout w:type="fixed"/>
        <w:tblLook w:firstColumn="1" w:firstRow="1" w:lastColumn="0" w:lastRow="0" w:noHBand="0" w:noVBand="1" w:val="04A0"/>
        <w:tblBorders>
          <w:top w:val="single" w:sz="6" w:color="CBD3DB" w:space="0"/>
          <w:left w:val="single" w:sz="6" w:color="CBD3DB" w:space="0"/>
          <w:bottom w:val="single" w:sz="6" w:color="CBD3DB" w:space="0"/>
          <w:right w:val="single" w:sz="6" w:color="CBD3DB" w:space="0"/>
          <w:insideH w:val="single" w:sz="6" w:color="CBD3DB" w:space="0"/>
          <w:insideV w:val="single" w:sz="6" w:color="CBD3DB" w:space="0"/>
        </w:tblBorders>
        <w:tblInd w:w="120" w:type="dxa"/>
      </w:tblPr>
      <w:tblGrid>
        <w:gridCol w:w="936"/>
        <w:gridCol w:w="1296"/>
        <w:gridCol w:w="2304"/>
        <w:gridCol w:w="2232"/>
        <w:gridCol w:w="1800"/>
        <w:gridCol w:w="792"/>
      </w:tblGrid>
      <w:tr>
        <w:trPr>
          <w:tblHeader w:val="true"/>
          <w:cantSplit/>
        </w:trPr>
        <w:tc>
          <w:tcPr>
            <w:tcW w:type="dxa" w:w="93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版本</w:t>
            </w:r>
          </w:p>
        </w:tc>
        <w:tc>
          <w:tcPr>
            <w:tcW w:type="dxa" w:w="1296"/>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日期</w:t>
            </w:r>
          </w:p>
        </w:tc>
        <w:tc>
          <w:tcPr>
            <w:tcW w:type="dxa" w:w="2304"/>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变更</w:t>
            </w:r>
          </w:p>
        </w:tc>
        <w:tc>
          <w:tcPr>
            <w:tcW w:type="dxa" w:w="223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影响系统/表/协议/资源</w:t>
            </w:r>
          </w:p>
        </w:tc>
        <w:tc>
          <w:tcPr>
            <w:tcW w:type="dxa" w:w="1800"/>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兼容与迁移</w:t>
            </w:r>
          </w:p>
        </w:tc>
        <w:tc>
          <w:tcPr>
            <w:tcW w:type="dxa" w:w="792"/>
            <w:shd w:fill="223A5E"/>
            <w:tcMar>
              <w:top w:w="90" w:type="dxa"/>
              <w:start w:w="120" w:type="dxa"/>
              <w:bottom w:w="90" w:type="dxa"/>
              <w:end w:w="120" w:type="dxa"/>
            </w:tcMar>
            <w:vAlign w:val="center"/>
          </w:tcPr>
          <w:p>
            <w:pPr>
              <w:spacing w:after="0"/>
              <w:jc w:val="center"/>
            </w:pPr>
            <w:r>
              <w:rPr>
                <w:rFonts w:ascii="Hiragino Sans GB" w:hAnsi="Hiragino Sans GB" w:eastAsia="Hiragino Sans GB"/>
                <w:b/>
                <w:i w:val="0"/>
                <w:color w:val="FFFFFF"/>
                <w:sz w:val="15"/>
              </w:rPr>
              <w:t>审批</w:t>
            </w:r>
          </w:p>
        </w:tc>
      </w:tr>
      <w:tr>
        <w:trPr>
          <w:cantSplit/>
        </w:trPr>
        <w:tc>
          <w:tcPr>
            <w:tcW w:type="dxa" w:w="936"/>
            <w:tcMar>
              <w:top w:w="82" w:type="dxa"/>
              <w:start w:w="120" w:type="dxa"/>
              <w:bottom w:w="82" w:type="dxa"/>
              <w:end w:w="120" w:type="dxa"/>
            </w:tcMar>
            <w:vAlign w:val="center"/>
          </w:tcPr>
          <w:p>
            <w:pPr>
              <w:spacing w:after="0" w:line="276" w:lineRule="auto"/>
              <w:jc w:val="center"/>
            </w:pPr>
            <w:r>
              <w:rPr>
                <w:rFonts w:ascii="Hiragino Sans GB" w:hAnsi="Hiragino Sans GB" w:eastAsia="Hiragino Sans GB"/>
                <w:b w:val="0"/>
                <w:i w:val="0"/>
                <w:color w:val="20252B"/>
                <w:sz w:val="15"/>
              </w:rPr>
              <w:t>v2.0</w:t>
            </w:r>
          </w:p>
        </w:tc>
        <w:tc>
          <w:tcPr>
            <w:tcW w:type="dxa" w:w="1296"/>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2026-08-24</w:t>
            </w:r>
          </w:p>
        </w:tc>
        <w:tc>
          <w:tcPr>
            <w:tcW w:type="dxa" w:w="2304"/>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新增P0/P1、S48-S64及每系统完整交付结构</w:t>
            </w:r>
          </w:p>
        </w:tc>
        <w:tc>
          <w:tcPr>
            <w:tcW w:type="dxa" w:w="223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全模板</w:t>
            </w:r>
          </w:p>
        </w:tc>
        <w:tc>
          <w:tcPr>
            <w:tcW w:type="dxa" w:w="1800"/>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新版本母版；v1.0保留不覆盖</w:t>
            </w:r>
          </w:p>
        </w:tc>
        <w:tc>
          <w:tcPr>
            <w:tcW w:type="dxa" w:w="792"/>
            <w:tcMar>
              <w:top w:w="82" w:type="dxa"/>
              <w:start w:w="120" w:type="dxa"/>
              <w:bottom w:w="82" w:type="dxa"/>
              <w:end w:w="120" w:type="dxa"/>
            </w:tcMar>
            <w:vAlign w:val="center"/>
          </w:tcPr>
          <w:p>
            <w:pPr>
              <w:spacing w:after="0" w:line="276" w:lineRule="auto"/>
            </w:pPr>
            <w:r>
              <w:rPr>
                <w:rFonts w:ascii="Hiragino Sans GB" w:hAnsi="Hiragino Sans GB" w:eastAsia="Hiragino Sans GB"/>
                <w:b w:val="0"/>
                <w:i w:val="0"/>
                <w:color w:val="20252B"/>
                <w:sz w:val="15"/>
              </w:rPr>
              <w:t>待项目确认</w:t>
            </w:r>
          </w:p>
        </w:tc>
      </w:tr>
      <w:tr>
        <w:tc>
          <w:tcPr>
            <w:tcW w:type="dxa" w:w="936"/>
          </w:tcPr>
          <w:p>
            <w:r/>
            <w:r>
              <w:rPr>
                <w:rFonts w:ascii="Microsoft YaHei" w:hAnsi="Microsoft YaHei" w:eastAsia="Microsoft YaHei"/>
                <w:sz w:val="18"/>
              </w:rPr>
              <w:t>v3.0</w:t>
            </w:r>
          </w:p>
        </w:tc>
        <w:tc>
          <w:tcPr>
            <w:tcW w:type="dxa" w:w="1296"/>
          </w:tcPr>
          <w:p>
            <w:r/>
            <w:r>
              <w:rPr>
                <w:rFonts w:ascii="Microsoft YaHei" w:hAnsi="Microsoft YaHei" w:eastAsia="Microsoft YaHei"/>
                <w:sz w:val="18"/>
              </w:rPr>
              <w:t>2026-08-24</w:t>
            </w:r>
          </w:p>
        </w:tc>
        <w:tc>
          <w:tcPr>
            <w:tcW w:type="dxa" w:w="2304"/>
          </w:tcPr>
          <w:p>
            <w:r/>
            <w:r>
              <w:rPr>
                <w:rFonts w:ascii="Microsoft YaHei" w:hAnsi="Microsoft YaHei" w:eastAsia="Microsoft YaHei"/>
                <w:sz w:val="18"/>
              </w:rPr>
              <w:t>整合完善：新增项目元数据模板（第0章）、空白系统母版（7.0）、P2轻量模式（2.5）；第10章命名规范补充文案key/埋点事件/公共资源规则</w:t>
            </w:r>
          </w:p>
        </w:tc>
        <w:tc>
          <w:tcPr>
            <w:tcW w:type="dxa" w:w="2232"/>
          </w:tcPr>
          <w:p>
            <w:r/>
            <w:r>
              <w:rPr>
                <w:rFonts w:ascii="Microsoft YaHei" w:hAnsi="Microsoft YaHei" w:eastAsia="Microsoft YaHei"/>
                <w:sz w:val="18"/>
              </w:rPr>
              <w:t>全模板</w:t>
            </w:r>
          </w:p>
        </w:tc>
        <w:tc>
          <w:tcPr>
            <w:tcW w:type="dxa" w:w="1800"/>
          </w:tcPr>
          <w:p>
            <w:r/>
            <w:r>
              <w:rPr>
                <w:rFonts w:ascii="Microsoft YaHei" w:hAnsi="Microsoft YaHei" w:eastAsia="Microsoft YaHei"/>
                <w:sz w:val="18"/>
              </w:rPr>
              <w:t>在专家完善版v2.0上增量整合；v2.0保留不覆盖</w:t>
            </w:r>
          </w:p>
        </w:tc>
        <w:tc>
          <w:tcPr>
            <w:tcW w:type="dxa" w:w="792"/>
          </w:tcPr>
          <w:p>
            <w:r/>
            <w:r>
              <w:rPr>
                <w:rFonts w:ascii="Microsoft YaHei" w:hAnsi="Microsoft YaHei" w:eastAsia="Microsoft YaHei"/>
                <w:sz w:val="18"/>
              </w:rPr>
              <w:t>待项目确认</w:t>
            </w:r>
          </w:p>
        </w:tc>
      </w:tr>
    </w:tbl>
    <w:p>
      <w:pPr>
        <w:spacing w:after="40"/>
      </w:pPr>
    </w:p>
    <w:p>
      <w:pPr>
        <w:pStyle w:val="ListBullet"/>
      </w:pPr>
      <w:r>
        <w:rPr>
          <w:rFonts w:ascii="Hiragino Sans GB" w:hAnsi="Hiragino Sans GB" w:eastAsia="Hiragino Sans GB"/>
          <w:b w:val="0"/>
          <w:i w:val="0"/>
          <w:color w:val="20252B"/>
          <w:sz w:val="22"/>
        </w:rPr>
        <w:t>每个启用系统先有竞品事实/证据与适配判断，再有P0/P1开发范围；证据不足不得自动套用。</w:t>
      </w:r>
    </w:p>
    <w:p>
      <w:pPr>
        <w:pStyle w:val="ListBullet"/>
      </w:pPr>
      <w:r>
        <w:rPr>
          <w:rFonts w:ascii="Hiragino Sans GB" w:hAnsi="Hiragino Sans GB" w:eastAsia="Hiragino Sans GB"/>
          <w:b w:val="0"/>
          <w:i w:val="0"/>
          <w:color w:val="20252B"/>
          <w:sz w:val="22"/>
        </w:rPr>
        <w:t>开启条件、前置、操作、后置、异常恢复和客户端/服务器权威边界完整。</w:t>
      </w:r>
    </w:p>
    <w:p>
      <w:pPr>
        <w:pStyle w:val="ListBullet"/>
      </w:pPr>
      <w:r>
        <w:rPr>
          <w:rFonts w:ascii="Hiragino Sans GB" w:hAnsi="Hiragino Sans GB" w:eastAsia="Hiragino Sans GB"/>
          <w:b w:val="0"/>
          <w:i w:val="0"/>
          <w:color w:val="20252B"/>
          <w:sz w:val="22"/>
        </w:rPr>
        <w:t>UI有页面栈、布局、按钮、状态、红点/通知与无障碍规格；高风险操作有确认与幂等。</w:t>
      </w:r>
    </w:p>
    <w:p>
      <w:pPr>
        <w:pStyle w:val="ListBullet"/>
      </w:pPr>
      <w:r>
        <w:rPr>
          <w:rFonts w:ascii="Hiragino Sans GB" w:hAnsi="Hiragino Sans GB" w:eastAsia="Hiragino Sans GB"/>
          <w:b w:val="0"/>
          <w:i w:val="0"/>
          <w:color w:val="20252B"/>
          <w:sz w:val="22"/>
        </w:rPr>
        <w:t>所有配置有字段名、类型、范围、默认、校验、外键、版本和端归属；新增/改表可迁移可回滚。</w:t>
      </w:r>
    </w:p>
    <w:p>
      <w:pPr>
        <w:pStyle w:val="ListBullet"/>
      </w:pPr>
      <w:r>
        <w:rPr>
          <w:rFonts w:ascii="Hiragino Sans GB" w:hAnsi="Hiragino Sans GB" w:eastAsia="Hiragino Sans GB"/>
          <w:b w:val="0"/>
          <w:i w:val="0"/>
          <w:color w:val="20252B"/>
          <w:sz w:val="22"/>
        </w:rPr>
        <w:t>音乐、音效、图片、视频、模型和特效均有规格、asset_id、源文件路径、运行路径、bundle和fallback。</w:t>
      </w:r>
    </w:p>
    <w:p>
      <w:pPr>
        <w:pStyle w:val="ListBullet"/>
      </w:pPr>
      <w:r>
        <w:rPr>
          <w:rFonts w:ascii="Hiragino Sans GB" w:hAnsi="Hiragino Sans GB" w:eastAsia="Hiragino Sans GB"/>
          <w:b w:val="0"/>
          <w:i w:val="0"/>
          <w:color w:val="20252B"/>
          <w:sz w:val="22"/>
        </w:rPr>
        <w:t>系统埋点、性能、QA、灰度、风控、运营后台和变更记录满足发布闸门。</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b w:val="0"/>
        <w:i w:val="0"/>
        <w:color w:val="66717D"/>
        <w:sz w:val="16"/>
      </w:rPr>
      <w:t xml:space="preserve">竞品分析转开发母版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color="CBD3DB"/>
      </w:pBdr>
    </w:pPr>
    <w:r>
      <w:rPr>
        <w:rFonts w:ascii="Hiragino Sans GB" w:hAnsi="Hiragino Sans GB" w:eastAsia="Hiragino Sans GB"/>
        <w:b/>
        <w:i w:val="0"/>
        <w:color w:val="66717D"/>
        <w:sz w:val="17"/>
      </w:rPr>
      <w:t>游戏类型与系统策划开发模板库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Hiragino Sans GB" w:hAnsi="Hiragino Sans GB" w:eastAsia="Hiragino Sans GB"/>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iragino Sans GB" w:hAnsi="Hiragino Sans GB" w:eastAsia="Hiragino Sans GB"/>
      <w:b/>
      <w:bCs/>
      <w:color w:val="223A5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Hiragino Sans GB" w:hAnsi="Hiragino Sans GB" w:eastAsia="Hiragino Sans GB"/>
      <w:b/>
      <w:bCs/>
      <w:color w:val="356A8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Hiragino Sans GB" w:hAnsi="Hiragino Sans GB" w:eastAsia="Hiragino Sans GB"/>
      <w:b/>
      <w:bCs/>
      <w:color w:val="22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Hiragino Sans GB" w:hAnsi="Hiragino Sans GB" w:eastAsia="Hiragino Sans GB"/>
      <w:b/>
      <w:color w:val="22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Hiragino Sans GB" w:hAnsi="Hiragino Sans GB" w:eastAsia="Hiragino Sans GB"/>
      <w:b w:val="0"/>
      <w:i/>
      <w:iCs/>
      <w:color w:val="6671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Hiragino Sans GB" w:hAnsi="Hiragino Sans GB" w:eastAsia="Hiragino Sans G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Hiragino Sans GB" w:hAnsi="Hiragino Sans GB" w:eastAsia="Hiragino Sans G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Menlo" w:hAnsi="Menl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游戏类型与系统策划开发模板库 v2.0（专家完善版）</dc:title>
  <dc:subject>竞品分析转功能策划、P0/P1、功能流程、UI、字段级Schema、资源规格路径、埋点、性能与QA</dc:subject>
  <dc:creator>Codex</dc:creator>
  <cp:keywords>占城大师, RTS, 游戏系统, 美术资产, 配置表, 客户端, 服务端</cp:keywords>
  <dc:description>generated by python-docx</dc:description>
  <cp:lastModifiedBy/>
  <cp:revision>1</cp:revision>
  <dcterms:created xsi:type="dcterms:W3CDTF">2013-12-23T23:15:00Z</dcterms:created>
  <dcterms:modified xsi:type="dcterms:W3CDTF">2013-12-23T23:15:00Z</dcterms:modified>
  <cp:category/>
</cp:coreProperties>
</file>