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Reader Probe</w:t>
      </w:r>
    </w:p>
    <w:p>
      <w:pPr>
        <w:pStyle w:val="Heading2"/>
      </w:pPr>
      <w:r>
        <w:t>Rendering fidelity</w:t>
      </w:r>
    </w:p>
    <w:p>
      <w:r>
        <w:rPr>
          <w:b/>
        </w:rPr>
        <w:t xml:space="preserve">The rendered page keeps styling: this sentence starts bold, </w:t>
      </w:r>
      <w:r>
        <w:t xml:space="preserve">runs plain in the middle, </w:t>
      </w:r>
      <w:r>
        <w:rPr>
          <w:i/>
        </w:rPr>
        <w:t>and finishes italic.</w:t>
      </w:r>
    </w:p>
    <w:p>
      <w:r>
        <w:t>Every sentence gets its own highlight as the voice moves through it.</w:t>
      </w:r>
    </w:p>
    <w:p>
      <w:pPr>
        <w:pStyle w:val="ListParagraph"/>
        <w:numPr>
          <w:ilvl w:val="0"/>
          <w:numId w:val="1"/>
        </w:numPr>
      </w:pPr>
      <w:r>
        <w:t>Bullet one carries a sentence of its own.</w:t>
      </w:r>
    </w:p>
    <w:p>
      <w:pPr>
        <w:pStyle w:val="ListParagraph"/>
        <w:numPr>
          <w:ilvl w:val="0"/>
          <w:numId w:val="1"/>
        </w:numPr>
      </w:pPr>
      <w:r>
        <w:t>Bullet two does as well.</w:t>
      </w:r>
    </w:p>
    <w:p>
      <w:r>
        <w:t>Literal markup must stay inert: &lt;script&gt;alert(1)&lt;/script&gt; and &amp;amp; signs.</w:t>
      </w:r>
    </w:p>
    <w:p>
      <w:r>
        <w:t>She sells seashells by the seashore.</w:t>
      </w:r>
    </w:p>
  </w:body>
</w:document>
</file>