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2E09" w14:textId="77777777" w:rsidR="008C50BA" w:rsidRPr="00503670" w:rsidRDefault="008C50BA" w:rsidP="008C50BA">
      <w:pPr>
        <w:pStyle w:val="AHeading"/>
        <w:spacing w:line="240" w:lineRule="auto"/>
        <w:rPr>
          <w:rFonts w:ascii="Arial" w:hAnsi="Arial" w:cs="Arial"/>
          <w:sz w:val="28"/>
          <w:szCs w:val="22"/>
        </w:rPr>
      </w:pPr>
      <w:r w:rsidRPr="00503670">
        <w:rPr>
          <w:rFonts w:ascii="Arial" w:hAnsi="Arial" w:cs="Arial"/>
          <w:caps w:val="0"/>
          <w:sz w:val="28"/>
          <w:szCs w:val="22"/>
        </w:rPr>
        <w:t xml:space="preserve">C  </w:t>
      </w:r>
      <w:r w:rsidRPr="00503670">
        <w:rPr>
          <w:rFonts w:ascii="Arial" w:hAnsi="Arial" w:cs="Arial"/>
          <w:caps w:val="0"/>
          <w:sz w:val="28"/>
          <w:szCs w:val="22"/>
        </w:rPr>
        <w:tab/>
        <w:t>Corporate income tax</w:t>
      </w:r>
    </w:p>
    <w:p w14:paraId="3F31E643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sz w:val="22"/>
          <w:szCs w:val="22"/>
        </w:rPr>
      </w:pPr>
    </w:p>
    <w:p w14:paraId="785B6DC1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sz w:val="22"/>
          <w:szCs w:val="22"/>
        </w:rPr>
      </w:pPr>
      <w:r w:rsidRPr="00503670">
        <w:rPr>
          <w:rFonts w:ascii="Arial" w:hAnsi="Arial" w:cs="Arial"/>
          <w:b/>
          <w:sz w:val="22"/>
          <w:szCs w:val="22"/>
        </w:rPr>
        <w:t xml:space="preserve">1.  </w:t>
      </w:r>
      <w:r w:rsidRPr="00503670">
        <w:rPr>
          <w:rFonts w:ascii="Arial" w:hAnsi="Arial" w:cs="Arial"/>
          <w:b/>
          <w:sz w:val="22"/>
          <w:szCs w:val="22"/>
        </w:rPr>
        <w:tab/>
        <w:t xml:space="preserve">The scope of corporate income </w:t>
      </w:r>
      <w:r w:rsidRPr="00503670">
        <w:rPr>
          <w:rFonts w:ascii="Arial" w:hAnsi="Arial" w:cs="Arial"/>
          <w:b/>
          <w:sz w:val="22"/>
          <w:szCs w:val="22"/>
        </w:rPr>
        <w:tab/>
        <w:t>tax (CIT)</w:t>
      </w:r>
    </w:p>
    <w:p w14:paraId="668E8803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sz w:val="22"/>
          <w:szCs w:val="22"/>
        </w:rPr>
      </w:pPr>
    </w:p>
    <w:p w14:paraId="0504C185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a)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>Explain and apply the territorial scope of corporate income taxation in Vietnam.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2280CA68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41E1CF5F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b)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>Identify the business establishments liable to CIT.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0EDD5651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5C451CFE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c)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 xml:space="preserve">Explain how the tax residence of a </w:t>
      </w:r>
      <w:r w:rsidRPr="00503670">
        <w:rPr>
          <w:rFonts w:ascii="Arial" w:hAnsi="Arial" w:cs="Arial"/>
          <w:bCs/>
          <w:sz w:val="22"/>
          <w:szCs w:val="22"/>
        </w:rPr>
        <w:tab/>
        <w:t>company is determined.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6276259F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sz w:val="22"/>
          <w:szCs w:val="22"/>
        </w:rPr>
      </w:pPr>
    </w:p>
    <w:p w14:paraId="698E2D6F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  <w:vertAlign w:val="superscript"/>
        </w:rPr>
      </w:pPr>
      <w:r w:rsidRPr="00503670">
        <w:rPr>
          <w:rFonts w:ascii="Arial" w:hAnsi="Arial" w:cs="Arial"/>
          <w:sz w:val="22"/>
          <w:szCs w:val="22"/>
        </w:rPr>
        <w:t xml:space="preserve">d)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 xml:space="preserve">Understand how a double taxation </w:t>
      </w:r>
      <w:r w:rsidRPr="00503670">
        <w:rPr>
          <w:rFonts w:ascii="Arial" w:hAnsi="Arial" w:cs="Arial"/>
          <w:sz w:val="22"/>
          <w:szCs w:val="22"/>
        </w:rPr>
        <w:tab/>
        <w:t xml:space="preserve">agreement can </w:t>
      </w:r>
      <w:r w:rsidRPr="00503670">
        <w:rPr>
          <w:rFonts w:ascii="Arial" w:hAnsi="Arial" w:cs="Arial"/>
          <w:bCs/>
          <w:sz w:val="22"/>
          <w:szCs w:val="22"/>
        </w:rPr>
        <w:t>affect</w:t>
      </w:r>
      <w:r w:rsidRPr="00503670">
        <w:rPr>
          <w:rFonts w:ascii="Arial" w:hAnsi="Arial" w:cs="Arial"/>
          <w:sz w:val="22"/>
          <w:szCs w:val="22"/>
        </w:rPr>
        <w:t xml:space="preserve"> the liability to </w:t>
      </w:r>
      <w:r w:rsidRPr="00503670">
        <w:rPr>
          <w:rFonts w:ascii="Arial" w:hAnsi="Arial" w:cs="Arial"/>
          <w:sz w:val="22"/>
          <w:szCs w:val="22"/>
        </w:rPr>
        <w:tab/>
        <w:t xml:space="preserve">taxation of different types of </w:t>
      </w:r>
      <w:r w:rsidRPr="00503670">
        <w:rPr>
          <w:rFonts w:ascii="Arial" w:hAnsi="Arial" w:cs="Arial"/>
          <w:sz w:val="22"/>
          <w:szCs w:val="22"/>
        </w:rPr>
        <w:tab/>
        <w:t>income.</w:t>
      </w:r>
      <w:r w:rsidRPr="00503670">
        <w:rPr>
          <w:rFonts w:ascii="Arial" w:hAnsi="Arial" w:cs="Arial"/>
          <w:sz w:val="22"/>
          <w:szCs w:val="22"/>
          <w:vertAlign w:val="superscript"/>
        </w:rPr>
        <w:t>[2]</w:t>
      </w:r>
    </w:p>
    <w:p w14:paraId="0E71F204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  <w:vertAlign w:val="superscript"/>
        </w:rPr>
      </w:pPr>
      <w:r w:rsidRPr="00503670">
        <w:rPr>
          <w:rFonts w:ascii="Arial" w:hAnsi="Arial" w:cs="Arial"/>
          <w:sz w:val="22"/>
          <w:szCs w:val="22"/>
        </w:rPr>
        <w:t xml:space="preserve">e) 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 xml:space="preserve">Understand how </w:t>
      </w:r>
      <w:r w:rsidRPr="00503670">
        <w:rPr>
          <w:rFonts w:ascii="Arial" w:hAnsi="Arial" w:cs="Arial"/>
          <w:iCs/>
          <w:sz w:val="22"/>
          <w:szCs w:val="22"/>
        </w:rPr>
        <w:t>companies and institutions in certain specific industries (e.g. securities, banking, real estate etc.) are taxed.</w:t>
      </w:r>
      <w:r w:rsidRPr="00503670">
        <w:rPr>
          <w:rFonts w:ascii="Arial" w:hAnsi="Arial" w:cs="Arial"/>
          <w:iCs/>
          <w:sz w:val="22"/>
          <w:szCs w:val="22"/>
          <w:vertAlign w:val="superscript"/>
        </w:rPr>
        <w:t>[2]</w:t>
      </w:r>
    </w:p>
    <w:p w14:paraId="445E2C24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>Excluded topics</w:t>
      </w:r>
    </w:p>
    <w:p w14:paraId="6BD02CC1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2C51D37D" w14:textId="77777777" w:rsidR="008C50BA" w:rsidRPr="00503670" w:rsidRDefault="008C50BA" w:rsidP="008C50BA">
      <w:pPr>
        <w:pStyle w:val="Basetext"/>
        <w:numPr>
          <w:ilvl w:val="0"/>
          <w:numId w:val="1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503670">
        <w:rPr>
          <w:rFonts w:ascii="Arial" w:hAnsi="Arial" w:cs="Arial"/>
          <w:i/>
          <w:iCs/>
          <w:sz w:val="22"/>
          <w:szCs w:val="22"/>
        </w:rPr>
        <w:t>Tax exempt income as defined by</w:t>
      </w:r>
    </w:p>
    <w:p w14:paraId="5A2B2120" w14:textId="77777777" w:rsidR="008C50BA" w:rsidRPr="00503670" w:rsidRDefault="008C50BA" w:rsidP="008C50BA">
      <w:pPr>
        <w:pStyle w:val="Basetext"/>
        <w:spacing w:line="240" w:lineRule="auto"/>
        <w:ind w:left="240"/>
        <w:rPr>
          <w:rFonts w:ascii="Arial" w:hAnsi="Arial" w:cs="Arial"/>
          <w:i/>
          <w:iCs/>
          <w:sz w:val="22"/>
          <w:szCs w:val="22"/>
        </w:rPr>
      </w:pPr>
      <w:r w:rsidRPr="00503670">
        <w:rPr>
          <w:rFonts w:ascii="Arial" w:hAnsi="Arial" w:cs="Arial"/>
          <w:i/>
          <w:iCs/>
          <w:sz w:val="22"/>
          <w:szCs w:val="22"/>
        </w:rPr>
        <w:tab/>
        <w:t xml:space="preserve">the law on CIT. </w:t>
      </w:r>
    </w:p>
    <w:p w14:paraId="43A2A3BD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i/>
          <w:iCs/>
          <w:sz w:val="22"/>
          <w:szCs w:val="22"/>
        </w:rPr>
      </w:pPr>
    </w:p>
    <w:p w14:paraId="51705EB4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sz w:val="22"/>
          <w:szCs w:val="22"/>
        </w:rPr>
      </w:pPr>
      <w:r w:rsidRPr="00503670">
        <w:rPr>
          <w:rFonts w:ascii="Arial" w:hAnsi="Arial" w:cs="Arial"/>
          <w:b/>
          <w:sz w:val="22"/>
          <w:szCs w:val="22"/>
        </w:rPr>
        <w:t xml:space="preserve">2. </w:t>
      </w:r>
      <w:r w:rsidRPr="00503670">
        <w:rPr>
          <w:rFonts w:ascii="Arial" w:hAnsi="Arial" w:cs="Arial"/>
          <w:b/>
          <w:sz w:val="22"/>
          <w:szCs w:val="22"/>
        </w:rPr>
        <w:tab/>
        <w:t xml:space="preserve">Profits subject to CIT </w:t>
      </w:r>
    </w:p>
    <w:p w14:paraId="5EEDFF72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6B6DB35E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a)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 xml:space="preserve">Explain the basis of assessment for </w:t>
      </w:r>
      <w:r w:rsidRPr="00503670">
        <w:rPr>
          <w:rFonts w:ascii="Arial" w:hAnsi="Arial" w:cs="Arial"/>
          <w:sz w:val="22"/>
          <w:szCs w:val="22"/>
        </w:rPr>
        <w:tab/>
        <w:t>CIT, including on the commencement and cessation of an enterprise.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sz w:val="22"/>
          <w:szCs w:val="22"/>
        </w:rPr>
        <w:t xml:space="preserve">     </w:t>
      </w:r>
    </w:p>
    <w:p w14:paraId="6A87201F" w14:textId="77777777" w:rsidR="008C50BA" w:rsidRPr="00503670" w:rsidRDefault="008C50BA" w:rsidP="008C50BA">
      <w:pPr>
        <w:pStyle w:val="Basetext"/>
        <w:spacing w:line="240" w:lineRule="auto"/>
        <w:ind w:left="284"/>
        <w:rPr>
          <w:rFonts w:ascii="Arial" w:hAnsi="Arial" w:cs="Arial"/>
          <w:bCs/>
          <w:sz w:val="22"/>
          <w:szCs w:val="22"/>
        </w:rPr>
      </w:pPr>
    </w:p>
    <w:p w14:paraId="5CE83295" w14:textId="77777777" w:rsidR="008C50BA" w:rsidRPr="00503670" w:rsidRDefault="008C50BA" w:rsidP="008C50BA">
      <w:pPr>
        <w:pStyle w:val="Basetext"/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b) </w:t>
      </w:r>
      <w:r w:rsidRPr="00503670">
        <w:rPr>
          <w:rFonts w:ascii="Arial" w:hAnsi="Arial" w:cs="Arial"/>
          <w:bCs/>
          <w:sz w:val="22"/>
          <w:szCs w:val="22"/>
        </w:rPr>
        <w:tab/>
        <w:t>Define the terms ‘assessable income’, ‘taxable income’ and ‘tax assessment period’.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52E9587E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5CF4B5DC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c)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>Explain ‘taxable revenue’ and reduction of taxable revenue for enterprises in specific industries.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32F19BD4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79F3E4DC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d)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 xml:space="preserve">Recognise and compute ‘deductible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>expenses’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1C9FCBC1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39585A18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e)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 xml:space="preserve">Recognise the items that do not </w:t>
      </w:r>
      <w:r w:rsidRPr="00503670">
        <w:rPr>
          <w:rFonts w:ascii="Arial" w:hAnsi="Arial" w:cs="Arial"/>
          <w:bCs/>
          <w:sz w:val="22"/>
          <w:szCs w:val="22"/>
        </w:rPr>
        <w:tab/>
        <w:t xml:space="preserve">constitute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>deductible</w:t>
      </w:r>
      <w:r w:rsidRPr="00503670">
        <w:rPr>
          <w:rFonts w:ascii="Arial" w:hAnsi="Arial" w:cs="Arial"/>
          <w:bCs/>
          <w:sz w:val="22"/>
          <w:szCs w:val="22"/>
        </w:rPr>
        <w:t xml:space="preserve"> expenses.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0D85204A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Cs/>
          <w:sz w:val="22"/>
          <w:szCs w:val="22"/>
        </w:rPr>
      </w:pPr>
    </w:p>
    <w:p w14:paraId="47347AFE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f)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>Explain and compute the ‘other income’ that should be included in taxable income.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bCs/>
          <w:sz w:val="22"/>
          <w:szCs w:val="22"/>
        </w:rPr>
        <w:t xml:space="preserve"> </w:t>
      </w:r>
    </w:p>
    <w:p w14:paraId="435F4062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3835CED6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g) </w:t>
      </w:r>
      <w:r w:rsidRPr="00503670">
        <w:rPr>
          <w:rFonts w:ascii="Arial" w:hAnsi="Arial" w:cs="Arial"/>
          <w:sz w:val="22"/>
          <w:szCs w:val="22"/>
        </w:rPr>
        <w:tab/>
        <w:t xml:space="preserve">Depreciation and amortisation of </w:t>
      </w:r>
      <w:r w:rsidRPr="00503670">
        <w:rPr>
          <w:rFonts w:ascii="Arial" w:hAnsi="Arial" w:cs="Arial"/>
          <w:sz w:val="22"/>
          <w:szCs w:val="22"/>
        </w:rPr>
        <w:tab/>
        <w:t>assets</w:t>
      </w:r>
    </w:p>
    <w:p w14:paraId="034CBC6A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i) </w:t>
      </w:r>
      <w:r w:rsidRPr="00503670">
        <w:rPr>
          <w:rFonts w:ascii="Arial" w:hAnsi="Arial" w:cs="Arial"/>
          <w:sz w:val="22"/>
          <w:szCs w:val="22"/>
        </w:rPr>
        <w:tab/>
        <w:t>State the conditions that must be satisfied for depreciation of a fixed asset to be included in deductible expenses.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31E4EBBA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ii) </w:t>
      </w:r>
      <w:r w:rsidRPr="00503670">
        <w:rPr>
          <w:rFonts w:ascii="Arial" w:hAnsi="Arial" w:cs="Arial"/>
          <w:sz w:val="22"/>
          <w:szCs w:val="22"/>
        </w:rPr>
        <w:tab/>
        <w:t>Explain the types of qualified fixed assets (for depreciation) and compute the eligible cost of tangible fixed assets, intangible fixed assets and leased assets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sz w:val="22"/>
          <w:szCs w:val="22"/>
        </w:rPr>
        <w:t xml:space="preserve"> </w:t>
      </w:r>
    </w:p>
    <w:p w14:paraId="36340169" w14:textId="77777777" w:rsidR="008C50BA" w:rsidRPr="00503670" w:rsidRDefault="008C50BA" w:rsidP="008C50BA">
      <w:pPr>
        <w:pStyle w:val="Basetext"/>
        <w:tabs>
          <w:tab w:val="clear" w:pos="425"/>
          <w:tab w:val="left" w:pos="851"/>
        </w:tabs>
        <w:spacing w:line="240" w:lineRule="auto"/>
        <w:ind w:left="709" w:hanging="284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iii) Compute the allowable depreciation expense in accordance with Ministry of Finance decisions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0426E487" w14:textId="77777777" w:rsidR="008C50BA" w:rsidRPr="00503670" w:rsidRDefault="008C50BA" w:rsidP="008C50BA">
      <w:pPr>
        <w:pStyle w:val="Basetext"/>
        <w:tabs>
          <w:tab w:val="clear" w:pos="425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iv) </w:t>
      </w:r>
      <w:r w:rsidRPr="00503670">
        <w:rPr>
          <w:rFonts w:ascii="Arial" w:hAnsi="Arial" w:cs="Arial"/>
          <w:bCs/>
          <w:sz w:val="22"/>
          <w:szCs w:val="22"/>
        </w:rPr>
        <w:tab/>
        <w:t>Distinguish between repairs and improvements and determine the effect of improvements on the calculation of depreciation.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6319B82D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b/>
          <w:sz w:val="22"/>
          <w:szCs w:val="22"/>
          <w:vertAlign w:val="superscript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v) </w:t>
      </w:r>
      <w:r w:rsidRPr="00503670">
        <w:rPr>
          <w:rFonts w:ascii="Arial" w:hAnsi="Arial" w:cs="Arial"/>
          <w:bCs/>
          <w:sz w:val="22"/>
          <w:szCs w:val="22"/>
        </w:rPr>
        <w:tab/>
        <w:t>Explain the treatment of a disposal or part disposal of depreciable assets.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6CBB8BD5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71F06363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h) </w:t>
      </w:r>
      <w:r w:rsidRPr="00503670">
        <w:rPr>
          <w:rFonts w:ascii="Arial" w:hAnsi="Arial" w:cs="Arial"/>
          <w:sz w:val="22"/>
          <w:szCs w:val="22"/>
        </w:rPr>
        <w:tab/>
        <w:t>Capital Assignments and Transfer of securities and projects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2E21B44B" w14:textId="77777777" w:rsidR="008C50BA" w:rsidRPr="00503670" w:rsidRDefault="008C50BA" w:rsidP="008C50BA">
      <w:pPr>
        <w:pStyle w:val="Basetext"/>
        <w:spacing w:line="240" w:lineRule="auto"/>
        <w:ind w:left="709" w:hanging="425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ab/>
        <w:t xml:space="preserve">i) </w:t>
      </w:r>
      <w:r w:rsidRPr="00503670">
        <w:rPr>
          <w:rFonts w:ascii="Arial" w:hAnsi="Arial" w:cs="Arial"/>
          <w:sz w:val="22"/>
          <w:szCs w:val="22"/>
        </w:rPr>
        <w:tab/>
        <w:t>Explain the treatment of transfers of projects, shares, bonds and other securities by business enterprises</w:t>
      </w:r>
      <w:r w:rsidRPr="00503670">
        <w:rPr>
          <w:rFonts w:ascii="Arial" w:hAnsi="Arial" w:cs="Arial"/>
          <w:bCs/>
          <w:sz w:val="22"/>
          <w:szCs w:val="22"/>
        </w:rPr>
        <w:t>.</w:t>
      </w:r>
    </w:p>
    <w:p w14:paraId="5E0E674D" w14:textId="77777777" w:rsidR="008C50BA" w:rsidRPr="00503670" w:rsidRDefault="008C50BA" w:rsidP="008C50BA">
      <w:pPr>
        <w:pStyle w:val="Basetext"/>
        <w:spacing w:line="240" w:lineRule="auto"/>
        <w:ind w:left="720" w:hanging="36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lastRenderedPageBreak/>
        <w:tab/>
        <w:t xml:space="preserve">ii) </w:t>
      </w:r>
      <w:r w:rsidRPr="00503670">
        <w:rPr>
          <w:rFonts w:ascii="Arial" w:hAnsi="Arial" w:cs="Arial"/>
          <w:sz w:val="22"/>
          <w:szCs w:val="22"/>
        </w:rPr>
        <w:tab/>
        <w:t xml:space="preserve">Explain and apply the </w:t>
      </w:r>
      <w:r>
        <w:rPr>
          <w:rFonts w:ascii="Arial" w:hAnsi="Arial" w:cs="Arial"/>
          <w:sz w:val="22"/>
          <w:szCs w:val="22"/>
        </w:rPr>
        <w:t>tax treatments</w:t>
      </w:r>
      <w:r w:rsidRPr="00503670">
        <w:rPr>
          <w:rFonts w:ascii="Arial" w:hAnsi="Arial" w:cs="Arial"/>
          <w:sz w:val="22"/>
          <w:szCs w:val="22"/>
        </w:rPr>
        <w:t xml:space="preserve"> to an investor </w:t>
      </w:r>
      <w:r>
        <w:rPr>
          <w:rFonts w:ascii="Arial" w:hAnsi="Arial" w:cs="Arial"/>
          <w:sz w:val="22"/>
          <w:szCs w:val="22"/>
        </w:rPr>
        <w:t xml:space="preserve">(including foreign and domestic) </w:t>
      </w:r>
      <w:r w:rsidRPr="00503670">
        <w:rPr>
          <w:rFonts w:ascii="Arial" w:hAnsi="Arial" w:cs="Arial"/>
          <w:sz w:val="22"/>
          <w:szCs w:val="22"/>
        </w:rPr>
        <w:t xml:space="preserve">transferring the whole or part of their capital investment to </w:t>
      </w:r>
      <w:r>
        <w:rPr>
          <w:rFonts w:ascii="Arial" w:hAnsi="Arial" w:cs="Arial"/>
          <w:sz w:val="22"/>
          <w:szCs w:val="22"/>
        </w:rPr>
        <w:t>a buyer in a non-related party transaction, or in an internal group restructuring</w:t>
      </w:r>
      <w:r w:rsidRPr="00503670">
        <w:rPr>
          <w:rFonts w:ascii="Arial" w:hAnsi="Arial" w:cs="Arial"/>
          <w:sz w:val="22"/>
          <w:szCs w:val="22"/>
        </w:rPr>
        <w:t>.</w:t>
      </w:r>
    </w:p>
    <w:p w14:paraId="699DEECE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Cs/>
          <w:sz w:val="22"/>
          <w:szCs w:val="22"/>
        </w:rPr>
      </w:pPr>
    </w:p>
    <w:p w14:paraId="6ADF3C03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i) </w:t>
      </w:r>
      <w:r w:rsidRPr="00503670">
        <w:rPr>
          <w:rFonts w:ascii="Arial" w:hAnsi="Arial" w:cs="Arial"/>
          <w:bCs/>
          <w:sz w:val="22"/>
          <w:szCs w:val="22"/>
        </w:rPr>
        <w:tab/>
      </w:r>
      <w:r w:rsidRPr="00503670">
        <w:rPr>
          <w:rFonts w:ascii="Arial" w:hAnsi="Arial" w:cs="Arial"/>
          <w:bCs/>
          <w:sz w:val="22"/>
          <w:szCs w:val="22"/>
        </w:rPr>
        <w:tab/>
        <w:t>Taxation of real property transfers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110E1D81" w14:textId="77777777" w:rsidR="008C50BA" w:rsidRPr="00503670" w:rsidRDefault="008C50BA" w:rsidP="008C50BA">
      <w:pPr>
        <w:pStyle w:val="Basetext"/>
        <w:tabs>
          <w:tab w:val="clear" w:pos="425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i) </w:t>
      </w:r>
      <w:r w:rsidRPr="00503670">
        <w:rPr>
          <w:rFonts w:ascii="Arial" w:hAnsi="Arial" w:cs="Arial"/>
          <w:bCs/>
          <w:sz w:val="22"/>
          <w:szCs w:val="22"/>
        </w:rPr>
        <w:tab/>
        <w:t>Explain the circumstances in which the transfer of real property is liable to corporate income tax.</w:t>
      </w:r>
    </w:p>
    <w:p w14:paraId="658E8C3E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ii) </w:t>
      </w:r>
      <w:r w:rsidRPr="00503670">
        <w:rPr>
          <w:rFonts w:ascii="Arial" w:hAnsi="Arial" w:cs="Arial"/>
          <w:bCs/>
          <w:sz w:val="22"/>
          <w:szCs w:val="22"/>
        </w:rPr>
        <w:tab/>
        <w:t>Compute the taxable income (turnover less expenses) on the transfer of real property.</w:t>
      </w:r>
    </w:p>
    <w:p w14:paraId="28A71113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2C46C49E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>j)</w:t>
      </w:r>
      <w:r w:rsidRPr="00503670">
        <w:rPr>
          <w:rFonts w:ascii="Arial" w:hAnsi="Arial" w:cs="Arial"/>
          <w:bCs/>
          <w:sz w:val="22"/>
          <w:szCs w:val="22"/>
        </w:rPr>
        <w:tab/>
        <w:t>Losses and carry forward losses</w:t>
      </w:r>
    </w:p>
    <w:p w14:paraId="31F1BC83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i) </w:t>
      </w:r>
      <w:r w:rsidRPr="00503670">
        <w:rPr>
          <w:rFonts w:ascii="Arial" w:hAnsi="Arial" w:cs="Arial"/>
          <w:bCs/>
          <w:sz w:val="22"/>
          <w:szCs w:val="22"/>
        </w:rPr>
        <w:tab/>
        <w:t>Explain and apply the relief available for losses against income in the year of loss (current year) and in subsequent years.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21D9C2A3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</w:rPr>
      </w:pPr>
    </w:p>
    <w:p w14:paraId="3A0CA0E9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bCs/>
          <w:sz w:val="22"/>
          <w:szCs w:val="22"/>
        </w:rPr>
        <w:t xml:space="preserve">k) </w:t>
      </w:r>
      <w:r w:rsidRPr="00503670">
        <w:rPr>
          <w:rFonts w:ascii="Arial" w:hAnsi="Arial" w:cs="Arial"/>
          <w:bCs/>
          <w:sz w:val="22"/>
          <w:szCs w:val="22"/>
        </w:rPr>
        <w:tab/>
        <w:t>Welfare expenses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1185DF3E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4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i) </w:t>
      </w:r>
      <w:r w:rsidRPr="00503670">
        <w:rPr>
          <w:rFonts w:ascii="Arial" w:hAnsi="Arial" w:cs="Arial"/>
          <w:sz w:val="22"/>
          <w:szCs w:val="22"/>
        </w:rPr>
        <w:tab/>
        <w:t>State the types of deductible welfare expenses, distinguish from other categories of expenses and state the conditions for additional deduction of welfare expenses.</w:t>
      </w:r>
    </w:p>
    <w:p w14:paraId="57D203C5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ii)</w:t>
      </w:r>
      <w:r w:rsidRPr="00503670">
        <w:rPr>
          <w:rFonts w:ascii="Arial" w:hAnsi="Arial" w:cs="Arial"/>
          <w:sz w:val="22"/>
          <w:szCs w:val="22"/>
        </w:rPr>
        <w:tab/>
        <w:t>Calculate deductible welfare expenses (taking into account the cap)</w:t>
      </w:r>
      <w:r w:rsidRPr="00503670">
        <w:rPr>
          <w:rFonts w:ascii="Arial" w:hAnsi="Arial" w:cs="Arial"/>
          <w:bCs/>
          <w:sz w:val="22"/>
          <w:szCs w:val="22"/>
        </w:rPr>
        <w:t>.</w:t>
      </w:r>
    </w:p>
    <w:p w14:paraId="2EE789E3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03A1A3D5" w14:textId="77777777" w:rsidR="008C50BA" w:rsidRPr="00503670" w:rsidRDefault="008C50BA" w:rsidP="008C50BA">
      <w:pPr>
        <w:pStyle w:val="Basetext"/>
        <w:tabs>
          <w:tab w:val="clear" w:pos="425"/>
          <w:tab w:val="left" w:pos="450"/>
        </w:tabs>
        <w:spacing w:line="240" w:lineRule="auto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l)</w:t>
      </w:r>
      <w:r w:rsidRPr="00503670">
        <w:rPr>
          <w:rFonts w:ascii="Arial" w:hAnsi="Arial" w:cs="Arial"/>
          <w:sz w:val="22"/>
          <w:szCs w:val="22"/>
        </w:rPr>
        <w:tab/>
        <w:t>Science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 xml:space="preserve"> </w:t>
      </w:r>
      <w:r w:rsidRPr="00503670">
        <w:rPr>
          <w:rFonts w:ascii="Arial" w:hAnsi="Arial" w:cs="Arial"/>
          <w:bCs/>
          <w:sz w:val="22"/>
          <w:szCs w:val="22"/>
        </w:rPr>
        <w:t>and technology funds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6B16D81A" w14:textId="77777777" w:rsidR="008C50BA" w:rsidRPr="00503670" w:rsidRDefault="008C50BA" w:rsidP="008C50BA">
      <w:pPr>
        <w:pStyle w:val="Basetext"/>
        <w:spacing w:line="240" w:lineRule="auto"/>
        <w:ind w:left="720" w:hanging="7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ab/>
        <w:t>i)</w:t>
      </w:r>
      <w:r w:rsidRPr="00503670">
        <w:rPr>
          <w:rFonts w:ascii="Arial" w:hAnsi="Arial" w:cs="Arial"/>
          <w:sz w:val="22"/>
          <w:szCs w:val="22"/>
        </w:rPr>
        <w:tab/>
        <w:t>State how the additional deduction operates.</w:t>
      </w:r>
    </w:p>
    <w:p w14:paraId="666D4059" w14:textId="77777777" w:rsidR="008C50BA" w:rsidRPr="00503670" w:rsidRDefault="008C50BA" w:rsidP="008C50BA">
      <w:pPr>
        <w:pStyle w:val="Basetext"/>
        <w:spacing w:line="240" w:lineRule="auto"/>
        <w:ind w:left="720" w:hanging="7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ab/>
        <w:t>ii)</w:t>
      </w:r>
      <w:r w:rsidRPr="00503670">
        <w:rPr>
          <w:rFonts w:ascii="Arial" w:hAnsi="Arial" w:cs="Arial"/>
          <w:sz w:val="22"/>
          <w:szCs w:val="22"/>
        </w:rPr>
        <w:tab/>
        <w:t>Calculate the tax arrears and other amounts payable for cases of non-compliance.</w:t>
      </w:r>
    </w:p>
    <w:p w14:paraId="084A8D8C" w14:textId="77777777" w:rsidR="008C50BA" w:rsidRPr="00503670" w:rsidRDefault="008C50BA" w:rsidP="008C50BA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</w:p>
    <w:p w14:paraId="2F24E6F6" w14:textId="77777777" w:rsidR="008C50BA" w:rsidRPr="00503670" w:rsidRDefault="008C50BA" w:rsidP="008C50BA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m)   Provisions for doubtful debts, investments, inventory, warranty and severance allowance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sz w:val="22"/>
          <w:szCs w:val="22"/>
        </w:rPr>
        <w:t xml:space="preserve"> </w:t>
      </w:r>
    </w:p>
    <w:p w14:paraId="35BD4090" w14:textId="77777777" w:rsidR="008C50BA" w:rsidRPr="00503670" w:rsidRDefault="008C50BA" w:rsidP="008C50BA">
      <w:pPr>
        <w:pStyle w:val="Basetext"/>
        <w:spacing w:line="240" w:lineRule="auto"/>
        <w:ind w:left="720" w:hanging="7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ab/>
        <w:t>i)</w:t>
      </w:r>
      <w:r w:rsidRPr="00503670">
        <w:rPr>
          <w:rFonts w:ascii="Arial" w:hAnsi="Arial" w:cs="Arial"/>
          <w:sz w:val="22"/>
          <w:szCs w:val="22"/>
        </w:rPr>
        <w:tab/>
        <w:t>Describe the tax treatment of these provisions.</w:t>
      </w:r>
    </w:p>
    <w:p w14:paraId="38629BF2" w14:textId="77777777" w:rsidR="008C50BA" w:rsidRPr="00503670" w:rsidRDefault="008C50BA" w:rsidP="008C50BA">
      <w:pPr>
        <w:pStyle w:val="Basetext"/>
        <w:spacing w:line="240" w:lineRule="auto"/>
        <w:ind w:left="720" w:hanging="7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ab/>
        <w:t>ii)</w:t>
      </w:r>
      <w:r w:rsidRPr="00503670">
        <w:rPr>
          <w:rFonts w:ascii="Arial" w:hAnsi="Arial" w:cs="Arial"/>
          <w:sz w:val="22"/>
          <w:szCs w:val="22"/>
        </w:rPr>
        <w:tab/>
        <w:t>Calculate the tax implications of these provisions.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 xml:space="preserve"> </w:t>
      </w:r>
    </w:p>
    <w:p w14:paraId="3A055F44" w14:textId="77777777" w:rsidR="008C50BA" w:rsidRPr="00503670" w:rsidRDefault="008C50BA" w:rsidP="008C50BA">
      <w:pPr>
        <w:pStyle w:val="Basetext"/>
        <w:spacing w:line="240" w:lineRule="auto"/>
        <w:ind w:left="720" w:hanging="720"/>
        <w:rPr>
          <w:rFonts w:ascii="Arial" w:hAnsi="Arial" w:cs="Arial"/>
          <w:sz w:val="22"/>
          <w:szCs w:val="22"/>
        </w:rPr>
      </w:pPr>
    </w:p>
    <w:p w14:paraId="7B24910F" w14:textId="77777777" w:rsidR="008C50BA" w:rsidRPr="00503670" w:rsidRDefault="008C50BA" w:rsidP="008C50BA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n)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Understand the implications of capital versus debt financing, the non-deductibility of interest expenses under various circumstances (such as the interest expense cap at a percentage of EBITDA), and compute relevant amounts (including the carryforward of non-deductibile interest in excess of cap, retrospective application for fiscal years 2017 – 2018 etc).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44DDF917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12A9BEF3" w14:textId="77777777" w:rsidR="008C50BA" w:rsidRPr="00503670" w:rsidRDefault="008C50BA" w:rsidP="008C50BA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o) </w:t>
      </w:r>
      <w:r w:rsidRPr="00503670">
        <w:rPr>
          <w:rFonts w:ascii="Arial" w:hAnsi="Arial" w:cs="Arial"/>
          <w:sz w:val="22"/>
          <w:szCs w:val="22"/>
        </w:rPr>
        <w:tab/>
        <w:t>Understand the implications of related party transactions (including imposition of taxable revenue, deductible expenses and/or taxable income by the tax authorities), and perform simple estimates of relevant tax amounts.</w:t>
      </w:r>
      <w:r w:rsidRPr="00503670">
        <w:rPr>
          <w:rFonts w:ascii="Arial" w:hAnsi="Arial" w:cs="Arial"/>
          <w:sz w:val="22"/>
          <w:szCs w:val="22"/>
          <w:vertAlign w:val="superscript"/>
        </w:rPr>
        <w:t>[2]</w:t>
      </w:r>
    </w:p>
    <w:p w14:paraId="150F30B8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</w:p>
    <w:p w14:paraId="02CCBE6A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 xml:space="preserve">3. </w:t>
      </w:r>
      <w:r w:rsidRPr="00503670">
        <w:rPr>
          <w:rFonts w:ascii="Arial" w:hAnsi="Arial" w:cs="Arial"/>
          <w:b/>
          <w:bCs/>
          <w:sz w:val="22"/>
          <w:szCs w:val="22"/>
        </w:rPr>
        <w:tab/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The comprehensive computation </w:t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of CIT liabilities </w:t>
      </w:r>
    </w:p>
    <w:p w14:paraId="03B1AB7F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520CE973" w14:textId="77777777" w:rsidR="008C50BA" w:rsidRPr="00503670" w:rsidRDefault="008C50BA" w:rsidP="008C50BA">
      <w:pPr>
        <w:pStyle w:val="Basetext"/>
        <w:tabs>
          <w:tab w:val="clear" w:pos="425"/>
          <w:tab w:val="left" w:pos="450"/>
        </w:tabs>
        <w:spacing w:line="240" w:lineRule="auto"/>
        <w:ind w:left="450" w:hanging="45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a) </w:t>
      </w:r>
      <w:r w:rsidRPr="00503670">
        <w:rPr>
          <w:rFonts w:ascii="Arial" w:hAnsi="Arial" w:cs="Arial"/>
          <w:sz w:val="22"/>
          <w:szCs w:val="22"/>
        </w:rPr>
        <w:tab/>
        <w:t>Prepare a CIT computation, including the standard CIT declaration forms, taking into account the tax regulations.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5464C818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395D1DC8" w14:textId="77777777" w:rsidR="008C50BA" w:rsidRPr="00503670" w:rsidRDefault="008C50BA" w:rsidP="008C50BA">
      <w:pPr>
        <w:pStyle w:val="Basetext"/>
        <w:tabs>
          <w:tab w:val="clear" w:pos="425"/>
          <w:tab w:val="left" w:pos="450"/>
        </w:tabs>
        <w:spacing w:line="240" w:lineRule="auto"/>
        <w:ind w:left="450" w:hanging="45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b) </w:t>
      </w:r>
      <w:r w:rsidRPr="00503670">
        <w:rPr>
          <w:rFonts w:ascii="Arial" w:hAnsi="Arial" w:cs="Arial"/>
          <w:sz w:val="22"/>
          <w:szCs w:val="22"/>
        </w:rPr>
        <w:tab/>
        <w:t>Compute the CIT liability at non-reduced rates.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444C4C0F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3E0EC373" w14:textId="77777777" w:rsidR="008C50BA" w:rsidRPr="00503670" w:rsidRDefault="008C50BA" w:rsidP="008C50BA">
      <w:pPr>
        <w:pStyle w:val="Basetext"/>
        <w:tabs>
          <w:tab w:val="clear" w:pos="425"/>
          <w:tab w:val="left" w:pos="450"/>
        </w:tabs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c)</w:t>
      </w:r>
      <w:r w:rsidRPr="00503670">
        <w:rPr>
          <w:rFonts w:ascii="Arial" w:hAnsi="Arial" w:cs="Arial"/>
          <w:bCs/>
          <w:sz w:val="22"/>
          <w:szCs w:val="22"/>
        </w:rPr>
        <w:t xml:space="preserve"> </w:t>
      </w:r>
      <w:r w:rsidRPr="00503670">
        <w:rPr>
          <w:rFonts w:ascii="Arial" w:hAnsi="Arial" w:cs="Arial"/>
          <w:bCs/>
          <w:sz w:val="22"/>
          <w:szCs w:val="22"/>
        </w:rPr>
        <w:tab/>
        <w:t xml:space="preserve">Tax incentive exemptions and </w:t>
      </w:r>
      <w:r w:rsidRPr="00503670">
        <w:rPr>
          <w:rFonts w:ascii="Arial" w:hAnsi="Arial" w:cs="Arial"/>
          <w:sz w:val="22"/>
          <w:szCs w:val="22"/>
        </w:rPr>
        <w:t>reductions</w:t>
      </w:r>
    </w:p>
    <w:p w14:paraId="576CF11C" w14:textId="77777777" w:rsidR="008C50BA" w:rsidRPr="00503670" w:rsidRDefault="008C50BA" w:rsidP="008C50BA">
      <w:pPr>
        <w:pStyle w:val="Basetext"/>
        <w:tabs>
          <w:tab w:val="clear" w:pos="425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i)   Describe the general application of CIT incentives applicable to investment projects under the tax regulations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096AB350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ii)  Explain the general qualifying conditions that must be satisfied, the nature of the incentive and the duration of application in each case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5D6DCC5E" w14:textId="77777777" w:rsidR="008C50BA" w:rsidRPr="00503670" w:rsidRDefault="008C50BA" w:rsidP="008C50BA">
      <w:pPr>
        <w:pStyle w:val="Basetext"/>
        <w:tabs>
          <w:tab w:val="clear" w:pos="425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iii) Compute the CIT liability at reduced rates (where applicable), including the treatment of tax losses.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584616DA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13E787D5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d) </w:t>
      </w:r>
      <w:r w:rsidRPr="00503670">
        <w:rPr>
          <w:rFonts w:ascii="Arial" w:hAnsi="Arial" w:cs="Arial"/>
          <w:sz w:val="22"/>
          <w:szCs w:val="22"/>
        </w:rPr>
        <w:tab/>
        <w:t>Overseas aspects</w:t>
      </w:r>
    </w:p>
    <w:p w14:paraId="3452B9AA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lastRenderedPageBreak/>
        <w:t xml:space="preserve">i) </w:t>
      </w:r>
      <w:r w:rsidRPr="00503670">
        <w:rPr>
          <w:rFonts w:ascii="Arial" w:hAnsi="Arial" w:cs="Arial"/>
          <w:sz w:val="22"/>
          <w:szCs w:val="22"/>
        </w:rPr>
        <w:tab/>
        <w:t>Business structure, representative offices, branch or subsidiary</w:t>
      </w:r>
    </w:p>
    <w:p w14:paraId="64A98CF1" w14:textId="77777777" w:rsidR="008C50BA" w:rsidRPr="00503670" w:rsidRDefault="008C50BA" w:rsidP="008C50BA">
      <w:pPr>
        <w:pStyle w:val="Basetext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Define ‘permanent establishment’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Style w:val="Superscript"/>
          <w:rFonts w:ascii="Arial" w:hAnsi="Arial" w:cs="Arial"/>
          <w:color w:val="auto"/>
          <w:sz w:val="22"/>
          <w:szCs w:val="22"/>
        </w:rPr>
        <w:t>[1]</w:t>
      </w:r>
    </w:p>
    <w:p w14:paraId="5790DFC0" w14:textId="77777777" w:rsidR="008C50BA" w:rsidRPr="00503670" w:rsidRDefault="008C50BA" w:rsidP="008C50BA">
      <w:pPr>
        <w:pStyle w:val="Basetext"/>
        <w:numPr>
          <w:ilvl w:val="0"/>
          <w:numId w:val="4"/>
        </w:numPr>
        <w:tabs>
          <w:tab w:val="clear" w:pos="425"/>
          <w:tab w:val="left" w:pos="426"/>
        </w:tabs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Apply the concept of permanent establishment to determine the taxability of income in Vietnam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Style w:val="Superscript"/>
          <w:rFonts w:ascii="Arial" w:hAnsi="Arial" w:cs="Arial"/>
          <w:color w:val="auto"/>
          <w:sz w:val="22"/>
          <w:szCs w:val="22"/>
        </w:rPr>
        <w:t>[2]</w:t>
      </w:r>
    </w:p>
    <w:p w14:paraId="6BE4BFA9" w14:textId="77777777" w:rsidR="008C50BA" w:rsidRPr="00503670" w:rsidRDefault="008C50BA" w:rsidP="008C50BA">
      <w:pPr>
        <w:pStyle w:val="Basetext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Explain and distinguish between the CIT implications of a representative office, branch and subsidiary of a foreign corporation</w:t>
      </w:r>
      <w:r w:rsidRPr="00503670">
        <w:rPr>
          <w:rFonts w:ascii="Arial" w:hAnsi="Arial" w:cs="Arial"/>
          <w:bCs/>
          <w:sz w:val="22"/>
          <w:szCs w:val="22"/>
        </w:rPr>
        <w:t>.</w:t>
      </w:r>
      <w:r w:rsidRPr="00503670">
        <w:rPr>
          <w:rStyle w:val="Superscript"/>
          <w:rFonts w:ascii="Arial" w:hAnsi="Arial" w:cs="Arial"/>
          <w:color w:val="auto"/>
          <w:sz w:val="22"/>
          <w:szCs w:val="22"/>
        </w:rPr>
        <w:t>[2]</w:t>
      </w:r>
    </w:p>
    <w:p w14:paraId="41999A59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bCs/>
          <w:sz w:val="22"/>
          <w:szCs w:val="22"/>
          <w:vertAlign w:val="superscript"/>
        </w:rPr>
      </w:pPr>
      <w:r w:rsidRPr="00503670">
        <w:rPr>
          <w:rFonts w:ascii="Arial" w:hAnsi="Arial" w:cs="Arial"/>
          <w:sz w:val="22"/>
          <w:szCs w:val="22"/>
        </w:rPr>
        <w:t xml:space="preserve">ii) </w:t>
      </w:r>
      <w:r w:rsidRPr="00503670">
        <w:rPr>
          <w:rFonts w:ascii="Arial" w:hAnsi="Arial" w:cs="Arial"/>
          <w:sz w:val="22"/>
          <w:szCs w:val="22"/>
        </w:rPr>
        <w:tab/>
        <w:t>Recognise the circumstances in which income earned by foreign organisations without presence in Vietnam, or income earned by a Vietnamese organisation in a foreign country, is regarded as being taxable in Vietnam.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3CC32E29" w14:textId="77777777" w:rsidR="008C50BA" w:rsidRPr="00503670" w:rsidRDefault="008C50BA" w:rsidP="008C50BA">
      <w:pPr>
        <w:pStyle w:val="Basetext"/>
        <w:tabs>
          <w:tab w:val="clear" w:pos="425"/>
          <w:tab w:val="left" w:pos="709"/>
        </w:tabs>
        <w:spacing w:line="240" w:lineRule="auto"/>
        <w:ind w:left="709" w:hanging="283"/>
        <w:rPr>
          <w:rFonts w:ascii="Arial" w:hAnsi="Arial" w:cs="Arial"/>
          <w:sz w:val="22"/>
          <w:szCs w:val="22"/>
        </w:rPr>
      </w:pPr>
    </w:p>
    <w:p w14:paraId="26CEAEF7" w14:textId="77777777" w:rsidR="008C50BA" w:rsidRPr="00503670" w:rsidRDefault="008C50BA" w:rsidP="008C50BA">
      <w:pPr>
        <w:pStyle w:val="Basetext"/>
        <w:tabs>
          <w:tab w:val="left" w:pos="709"/>
          <w:tab w:val="left" w:pos="851"/>
        </w:tabs>
        <w:spacing w:line="240" w:lineRule="auto"/>
        <w:ind w:left="425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iii) Double taxation relief </w:t>
      </w:r>
    </w:p>
    <w:p w14:paraId="621B0BED" w14:textId="77777777" w:rsidR="008C50BA" w:rsidRPr="00503670" w:rsidRDefault="008C50BA" w:rsidP="008C50BA">
      <w:pPr>
        <w:pStyle w:val="Basetext"/>
        <w:numPr>
          <w:ilvl w:val="0"/>
          <w:numId w:val="5"/>
        </w:numPr>
        <w:tabs>
          <w:tab w:val="left" w:pos="709"/>
          <w:tab w:val="left" w:pos="851"/>
        </w:tabs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Explain and apply the available forms of double taxation relief:</w:t>
      </w:r>
    </w:p>
    <w:p w14:paraId="42A566E7" w14:textId="77777777" w:rsidR="008C50BA" w:rsidRPr="00503670" w:rsidRDefault="008C50BA" w:rsidP="008C50BA">
      <w:pPr>
        <w:pStyle w:val="Basetext"/>
        <w:numPr>
          <w:ilvl w:val="0"/>
          <w:numId w:val="6"/>
        </w:numPr>
        <w:tabs>
          <w:tab w:val="left" w:pos="709"/>
          <w:tab w:val="left" w:pos="851"/>
        </w:tabs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treaty relief (of double tax agreeements as provided); and </w:t>
      </w:r>
    </w:p>
    <w:p w14:paraId="5E6983A8" w14:textId="77777777" w:rsidR="008C50BA" w:rsidRPr="00503670" w:rsidRDefault="008C50BA" w:rsidP="008C50BA">
      <w:pPr>
        <w:pStyle w:val="Basetext"/>
        <w:numPr>
          <w:ilvl w:val="0"/>
          <w:numId w:val="6"/>
        </w:numPr>
        <w:tabs>
          <w:tab w:val="left" w:pos="709"/>
          <w:tab w:val="left" w:pos="851"/>
        </w:tabs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unilateral tax credit relief</w:t>
      </w:r>
      <w:r w:rsidRPr="00503670">
        <w:rPr>
          <w:rFonts w:ascii="Arial" w:hAnsi="Arial" w:cs="Arial"/>
          <w:bCs/>
          <w:sz w:val="22"/>
          <w:szCs w:val="22"/>
        </w:rPr>
        <w:t xml:space="preserve"> 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10ECB8C6" w14:textId="77777777" w:rsidR="008C50BA" w:rsidRPr="00503670" w:rsidRDefault="008C50BA" w:rsidP="008C50BA">
      <w:pPr>
        <w:pStyle w:val="Basetext"/>
        <w:numPr>
          <w:ilvl w:val="0"/>
          <w:numId w:val="5"/>
        </w:numPr>
        <w:tabs>
          <w:tab w:val="left" w:pos="709"/>
          <w:tab w:val="left" w:pos="851"/>
        </w:tabs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Compute the double taxation relief available in respect of foreign withholding and underlying taxes.</w:t>
      </w:r>
      <w:r w:rsidRPr="00503670">
        <w:rPr>
          <w:rFonts w:ascii="Arial" w:hAnsi="Arial" w:cs="Arial"/>
          <w:sz w:val="22"/>
          <w:szCs w:val="22"/>
          <w:vertAlign w:val="superscript"/>
        </w:rPr>
        <w:t>[2]</w:t>
      </w:r>
    </w:p>
    <w:p w14:paraId="64793741" w14:textId="77777777" w:rsidR="008C50BA" w:rsidRPr="00065D9C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1949A2B7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>Excluded topics</w:t>
      </w:r>
    </w:p>
    <w:p w14:paraId="38F401C0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03F3F03B" w14:textId="77777777" w:rsidR="008C50BA" w:rsidRPr="00503670" w:rsidRDefault="008C50BA" w:rsidP="008C50BA">
      <w:pPr>
        <w:pStyle w:val="Basetext"/>
        <w:numPr>
          <w:ilvl w:val="0"/>
          <w:numId w:val="2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503670">
        <w:rPr>
          <w:rFonts w:ascii="Arial" w:hAnsi="Arial" w:cs="Arial"/>
          <w:i/>
          <w:iCs/>
          <w:sz w:val="22"/>
          <w:szCs w:val="22"/>
        </w:rPr>
        <w:t>Detailed lists of provinces or geographical locations etc for the purposes of tax incentives</w:t>
      </w:r>
    </w:p>
    <w:p w14:paraId="4053B3DE" w14:textId="77777777" w:rsidR="008C50BA" w:rsidRPr="00503670" w:rsidRDefault="008C50BA" w:rsidP="008C50BA">
      <w:pPr>
        <w:pStyle w:val="Basetext"/>
        <w:numPr>
          <w:ilvl w:val="0"/>
          <w:numId w:val="2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503670">
        <w:rPr>
          <w:rFonts w:ascii="Arial" w:hAnsi="Arial" w:cs="Arial"/>
          <w:i/>
          <w:iCs/>
          <w:sz w:val="22"/>
          <w:szCs w:val="22"/>
        </w:rPr>
        <w:t xml:space="preserve">Detailed provisions of individual tax treaties </w:t>
      </w:r>
    </w:p>
    <w:p w14:paraId="66281A79" w14:textId="77777777" w:rsidR="008C50BA" w:rsidRPr="00503670" w:rsidRDefault="008C50BA" w:rsidP="008C50BA">
      <w:pPr>
        <w:pStyle w:val="Basetext"/>
        <w:spacing w:line="240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</w:p>
    <w:p w14:paraId="2B8C7118" w14:textId="77777777" w:rsidR="008C50BA" w:rsidRPr="00503670" w:rsidRDefault="008C50BA" w:rsidP="008C50BA">
      <w:pPr>
        <w:pStyle w:val="Basetext"/>
        <w:tabs>
          <w:tab w:val="clear" w:pos="425"/>
          <w:tab w:val="left" w:pos="426"/>
        </w:tabs>
        <w:spacing w:line="240" w:lineRule="auto"/>
        <w:ind w:left="426" w:hanging="426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 xml:space="preserve">4. </w:t>
      </w:r>
      <w:r w:rsidRPr="00503670">
        <w:rPr>
          <w:rFonts w:ascii="Arial" w:hAnsi="Arial" w:cs="Arial"/>
          <w:b/>
          <w:bCs/>
          <w:sz w:val="22"/>
          <w:szCs w:val="22"/>
        </w:rPr>
        <w:tab/>
        <w:t>The use of exemptions and reliefs in deferring and minimising CIT liabilities</w:t>
      </w:r>
    </w:p>
    <w:p w14:paraId="45DB7717" w14:textId="77777777" w:rsidR="008C50BA" w:rsidRPr="00503670" w:rsidRDefault="008C50BA" w:rsidP="008C50BA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0F74913D" w14:textId="77777777" w:rsidR="008C50BA" w:rsidRPr="00503670" w:rsidRDefault="008C50BA" w:rsidP="008C50BA">
      <w:pPr>
        <w:pStyle w:val="Basetext"/>
        <w:numPr>
          <w:ilvl w:val="0"/>
          <w:numId w:val="3"/>
        </w:numPr>
        <w:tabs>
          <w:tab w:val="clear" w:pos="425"/>
          <w:tab w:val="left" w:pos="426"/>
        </w:tabs>
        <w:spacing w:line="240" w:lineRule="auto"/>
        <w:ind w:left="426" w:hanging="426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Identify, compute and apply the right reduction/relief and tax saving/deferral arrangement in given circumstances.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sz w:val="22"/>
          <w:szCs w:val="22"/>
        </w:rPr>
        <w:t xml:space="preserve"> </w:t>
      </w:r>
    </w:p>
    <w:p w14:paraId="433498FD" w14:textId="77777777" w:rsidR="005333AD" w:rsidRDefault="005333AD"/>
    <w:sectPr w:rsidR="0053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sGoth BT">
    <w:altName w:val="Microsoft YaHe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0F00"/>
    <w:multiLevelType w:val="hybridMultilevel"/>
    <w:tmpl w:val="3E44267A"/>
    <w:lvl w:ilvl="0" w:tplc="264C9336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264C9336">
      <w:start w:val="1"/>
      <w:numFmt w:val="bullet"/>
      <w:lvlText w:val=""/>
      <w:lvlJc w:val="left"/>
      <w:pPr>
        <w:ind w:left="1505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4794A65"/>
    <w:multiLevelType w:val="hybridMultilevel"/>
    <w:tmpl w:val="B1DE43FA"/>
    <w:lvl w:ilvl="0" w:tplc="264C93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C933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D51FB3"/>
    <w:multiLevelType w:val="hybridMultilevel"/>
    <w:tmpl w:val="53706740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66668"/>
    <w:multiLevelType w:val="hybridMultilevel"/>
    <w:tmpl w:val="00DC5A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D7A6C"/>
    <w:multiLevelType w:val="hybridMultilevel"/>
    <w:tmpl w:val="7DDA70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226C5"/>
    <w:multiLevelType w:val="hybridMultilevel"/>
    <w:tmpl w:val="1AE4DDFC"/>
    <w:lvl w:ilvl="0" w:tplc="264C9336">
      <w:start w:val="1"/>
      <w:numFmt w:val="bullet"/>
      <w:lvlText w:val=""/>
      <w:lvlJc w:val="left"/>
      <w:pPr>
        <w:ind w:left="810" w:hanging="360"/>
      </w:pPr>
      <w:rPr>
        <w:rFonts w:ascii="Symbol" w:hAnsi="Symbol" w:hint="default"/>
      </w:rPr>
    </w:lvl>
    <w:lvl w:ilvl="1" w:tplc="264C9336">
      <w:start w:val="1"/>
      <w:numFmt w:val="bullet"/>
      <w:lvlText w:val=""/>
      <w:lvlJc w:val="left"/>
      <w:pPr>
        <w:ind w:left="153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053729172">
    <w:abstractNumId w:val="2"/>
  </w:num>
  <w:num w:numId="2" w16cid:durableId="244194786">
    <w:abstractNumId w:val="3"/>
  </w:num>
  <w:num w:numId="3" w16cid:durableId="25840383">
    <w:abstractNumId w:val="4"/>
  </w:num>
  <w:num w:numId="4" w16cid:durableId="1040976808">
    <w:abstractNumId w:val="5"/>
  </w:num>
  <w:num w:numId="5" w16cid:durableId="1188178687">
    <w:abstractNumId w:val="0"/>
  </w:num>
  <w:num w:numId="6" w16cid:durableId="158873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BA"/>
    <w:rsid w:val="005333AD"/>
    <w:rsid w:val="008C50BA"/>
    <w:rsid w:val="00A3461D"/>
    <w:rsid w:val="00C6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0527"/>
  <w15:chartTrackingRefBased/>
  <w15:docId w15:val="{B5E1275F-344C-40C2-AE4B-A95AF666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BA"/>
    <w:rPr>
      <w:b/>
      <w:bCs/>
      <w:smallCaps/>
      <w:color w:val="0F4761" w:themeColor="accent1" w:themeShade="BF"/>
      <w:spacing w:val="5"/>
    </w:rPr>
  </w:style>
  <w:style w:type="paragraph" w:customStyle="1" w:styleId="Basetext">
    <w:name w:val="Base text"/>
    <w:basedOn w:val="Normal"/>
    <w:link w:val="BasetextChar"/>
    <w:rsid w:val="008C50BA"/>
    <w:pPr>
      <w:tabs>
        <w:tab w:val="left" w:pos="425"/>
      </w:tabs>
      <w:spacing w:after="0" w:line="260" w:lineRule="exact"/>
    </w:pPr>
    <w:rPr>
      <w:rFonts w:ascii="NewsGoth BT" w:eastAsia="Times New Roman" w:hAnsi="NewsGoth BT" w:cs="Times New Roman"/>
      <w:kern w:val="0"/>
      <w:sz w:val="20"/>
      <w:szCs w:val="20"/>
      <w:lang w:val="en-GB" w:eastAsia="en-GB"/>
      <w14:ligatures w14:val="none"/>
    </w:rPr>
  </w:style>
  <w:style w:type="character" w:customStyle="1" w:styleId="BasetextChar">
    <w:name w:val="Base text Char"/>
    <w:link w:val="Basetext"/>
    <w:rsid w:val="008C50BA"/>
    <w:rPr>
      <w:rFonts w:ascii="NewsGoth BT" w:eastAsia="Times New Roman" w:hAnsi="NewsGoth BT" w:cs="Times New Roman"/>
      <w:kern w:val="0"/>
      <w:sz w:val="20"/>
      <w:szCs w:val="20"/>
      <w:lang w:val="en-GB" w:eastAsia="en-GB"/>
      <w14:ligatures w14:val="none"/>
    </w:rPr>
  </w:style>
  <w:style w:type="paragraph" w:customStyle="1" w:styleId="AHeading">
    <w:name w:val="A. Heading"/>
    <w:basedOn w:val="Basetext"/>
    <w:link w:val="AHeadingChar"/>
    <w:uiPriority w:val="99"/>
    <w:rsid w:val="008C50BA"/>
    <w:pPr>
      <w:ind w:left="426" w:hanging="426"/>
    </w:pPr>
    <w:rPr>
      <w:b/>
      <w:caps/>
    </w:rPr>
  </w:style>
  <w:style w:type="character" w:customStyle="1" w:styleId="AHeadingChar">
    <w:name w:val="A. Heading Char"/>
    <w:link w:val="AHeading"/>
    <w:uiPriority w:val="99"/>
    <w:rsid w:val="008C50BA"/>
    <w:rPr>
      <w:rFonts w:ascii="NewsGoth BT" w:eastAsia="Times New Roman" w:hAnsi="NewsGoth BT" w:cs="Times New Roman"/>
      <w:b/>
      <w:caps/>
      <w:kern w:val="0"/>
      <w:sz w:val="20"/>
      <w:szCs w:val="20"/>
      <w:lang w:val="en-GB" w:eastAsia="en-GB"/>
      <w14:ligatures w14:val="none"/>
    </w:rPr>
  </w:style>
  <w:style w:type="character" w:customStyle="1" w:styleId="Superscript">
    <w:name w:val="Superscript"/>
    <w:rsid w:val="008C50BA"/>
    <w:rPr>
      <w:rFonts w:ascii="NewsGoth BT" w:hAnsi="NewsGoth BT"/>
      <w:b/>
      <w:bCs/>
      <w:dstrike w:val="0"/>
      <w:color w:val="000000"/>
      <w:sz w:val="20"/>
      <w:szCs w:val="20"/>
      <w:u w:val="none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831</Words>
  <Characters>4865</Characters>
  <Application>Microsoft Office Word</Application>
  <DocSecurity>0</DocSecurity>
  <Lines>127</Lines>
  <Paragraphs>65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Vu Hoang</dc:creator>
  <cp:keywords/>
  <dc:description/>
  <cp:lastModifiedBy>Phan Vu Hoang</cp:lastModifiedBy>
  <cp:revision>1</cp:revision>
  <dcterms:created xsi:type="dcterms:W3CDTF">2026-01-15T12:01:00Z</dcterms:created>
  <dcterms:modified xsi:type="dcterms:W3CDTF">2026-01-15T12:02:00Z</dcterms:modified>
</cp:coreProperties>
</file>