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0AC" w14:textId="4C9FEA3B" w:rsidR="001D0BD1" w:rsidRPr="00503670" w:rsidRDefault="001D0BD1" w:rsidP="001D0BD1">
      <w:pPr>
        <w:pStyle w:val="Basetext"/>
        <w:spacing w:line="240" w:lineRule="auto"/>
        <w:rPr>
          <w:rFonts w:ascii="Arial" w:hAnsi="Arial" w:cs="Arial"/>
          <w:b/>
          <w:sz w:val="28"/>
          <w:szCs w:val="22"/>
        </w:rPr>
      </w:pPr>
      <w:r w:rsidRPr="00503670">
        <w:rPr>
          <w:rFonts w:ascii="Arial" w:hAnsi="Arial" w:cs="Arial"/>
          <w:b/>
          <w:bCs/>
          <w:sz w:val="28"/>
          <w:szCs w:val="22"/>
        </w:rPr>
        <w:t>D</w:t>
      </w:r>
      <w:r w:rsidRPr="00503670">
        <w:rPr>
          <w:rFonts w:ascii="Arial" w:hAnsi="Arial" w:cs="Arial"/>
          <w:b/>
          <w:sz w:val="28"/>
          <w:szCs w:val="22"/>
        </w:rPr>
        <w:tab/>
        <w:t xml:space="preserve">Taxation of foreign contractors </w:t>
      </w:r>
    </w:p>
    <w:p w14:paraId="2C1E6A24" w14:textId="77777777" w:rsidR="001D0BD1" w:rsidRPr="00503670" w:rsidRDefault="001D0BD1" w:rsidP="001D0BD1">
      <w:pPr>
        <w:pStyle w:val="Basetext"/>
        <w:spacing w:line="240" w:lineRule="auto"/>
        <w:rPr>
          <w:rFonts w:ascii="Arial" w:hAnsi="Arial" w:cs="Arial"/>
          <w:sz w:val="22"/>
          <w:szCs w:val="22"/>
        </w:rPr>
      </w:pPr>
    </w:p>
    <w:p w14:paraId="25DAB0E2" w14:textId="77777777" w:rsidR="001D0BD1" w:rsidRPr="00503670" w:rsidRDefault="001D0BD1" w:rsidP="001D0BD1">
      <w:pPr>
        <w:pStyle w:val="Basetext"/>
        <w:spacing w:line="240" w:lineRule="auto"/>
        <w:ind w:left="426" w:hanging="426"/>
        <w:rPr>
          <w:rFonts w:ascii="Arial" w:hAnsi="Arial" w:cs="Arial"/>
          <w:b/>
          <w:bCs/>
          <w:sz w:val="22"/>
          <w:szCs w:val="22"/>
        </w:rPr>
      </w:pPr>
      <w:r w:rsidRPr="00503670">
        <w:rPr>
          <w:rFonts w:ascii="Arial" w:hAnsi="Arial" w:cs="Arial"/>
          <w:b/>
          <w:bCs/>
          <w:sz w:val="22"/>
          <w:szCs w:val="22"/>
        </w:rPr>
        <w:t>1.</w:t>
      </w:r>
      <w:r w:rsidRPr="00503670">
        <w:rPr>
          <w:rFonts w:ascii="Arial" w:hAnsi="Arial" w:cs="Arial"/>
          <w:b/>
          <w:bCs/>
          <w:sz w:val="22"/>
          <w:szCs w:val="22"/>
        </w:rPr>
        <w:tab/>
        <w:t>The scope of the foreign contractor tax (FCT) regime</w:t>
      </w:r>
    </w:p>
    <w:p w14:paraId="51C0A4B8" w14:textId="77777777" w:rsidR="001D0BD1" w:rsidRPr="00503670" w:rsidRDefault="001D0BD1" w:rsidP="001D0BD1">
      <w:pPr>
        <w:pStyle w:val="Basetext"/>
        <w:spacing w:line="240" w:lineRule="auto"/>
        <w:rPr>
          <w:rFonts w:ascii="Arial" w:hAnsi="Arial" w:cs="Arial"/>
          <w:sz w:val="22"/>
          <w:szCs w:val="22"/>
        </w:rPr>
      </w:pPr>
    </w:p>
    <w:p w14:paraId="667BFFC8" w14:textId="77777777" w:rsidR="001D0BD1" w:rsidRPr="00503670" w:rsidRDefault="001D0BD1" w:rsidP="001D0BD1">
      <w:pPr>
        <w:pStyle w:val="Basetext"/>
        <w:numPr>
          <w:ilvl w:val="0"/>
          <w:numId w:val="2"/>
        </w:numPr>
        <w:spacing w:line="240" w:lineRule="auto"/>
        <w:rPr>
          <w:rFonts w:ascii="Arial" w:hAnsi="Arial" w:cs="Arial"/>
          <w:b/>
          <w:bCs/>
          <w:sz w:val="22"/>
          <w:szCs w:val="22"/>
        </w:rPr>
      </w:pPr>
      <w:r w:rsidRPr="00503670">
        <w:rPr>
          <w:rFonts w:ascii="Arial" w:hAnsi="Arial" w:cs="Arial"/>
          <w:sz w:val="22"/>
          <w:szCs w:val="22"/>
        </w:rPr>
        <w:t>Identify applicable and non-applicable subjects/transactions.</w:t>
      </w:r>
      <w:r w:rsidRPr="00503670">
        <w:rPr>
          <w:rFonts w:ascii="Arial" w:hAnsi="Arial" w:cs="Arial"/>
          <w:bCs/>
          <w:sz w:val="22"/>
          <w:szCs w:val="22"/>
          <w:vertAlign w:val="superscript"/>
        </w:rPr>
        <w:t>[2]</w:t>
      </w:r>
      <w:r w:rsidRPr="00503670">
        <w:rPr>
          <w:rFonts w:ascii="Arial" w:hAnsi="Arial" w:cs="Arial"/>
          <w:sz w:val="22"/>
          <w:szCs w:val="22"/>
        </w:rPr>
        <w:t xml:space="preserve"> </w:t>
      </w:r>
    </w:p>
    <w:p w14:paraId="3E108CCC" w14:textId="77777777" w:rsidR="001D0BD1" w:rsidRPr="00503670" w:rsidRDefault="001D0BD1" w:rsidP="001D0BD1">
      <w:pPr>
        <w:pStyle w:val="Basetext"/>
        <w:spacing w:line="240" w:lineRule="auto"/>
        <w:rPr>
          <w:rFonts w:ascii="Arial" w:hAnsi="Arial" w:cs="Arial"/>
          <w:sz w:val="22"/>
          <w:szCs w:val="22"/>
        </w:rPr>
      </w:pPr>
    </w:p>
    <w:p w14:paraId="1BF65297" w14:textId="77777777" w:rsidR="001D0BD1" w:rsidRPr="00503670" w:rsidRDefault="001D0BD1" w:rsidP="001D0BD1">
      <w:pPr>
        <w:pStyle w:val="Basetext"/>
        <w:numPr>
          <w:ilvl w:val="0"/>
          <w:numId w:val="2"/>
        </w:numPr>
        <w:spacing w:line="240" w:lineRule="auto"/>
        <w:ind w:left="426" w:hanging="426"/>
        <w:rPr>
          <w:rFonts w:ascii="Arial" w:hAnsi="Arial" w:cs="Arial"/>
          <w:b/>
          <w:bCs/>
          <w:sz w:val="22"/>
          <w:szCs w:val="22"/>
        </w:rPr>
      </w:pPr>
      <w:r w:rsidRPr="00503670">
        <w:rPr>
          <w:rFonts w:ascii="Arial" w:hAnsi="Arial" w:cs="Arial"/>
          <w:sz w:val="22"/>
          <w:szCs w:val="22"/>
        </w:rPr>
        <w:t>Explain the inter-relationship between the FCT regime and CIT, VAT and PIT.</w:t>
      </w:r>
      <w:r w:rsidRPr="00503670">
        <w:rPr>
          <w:rFonts w:ascii="Arial" w:hAnsi="Arial" w:cs="Arial"/>
          <w:bCs/>
          <w:sz w:val="22"/>
          <w:szCs w:val="22"/>
          <w:vertAlign w:val="superscript"/>
        </w:rPr>
        <w:t>[2]</w:t>
      </w:r>
      <w:r w:rsidRPr="00503670">
        <w:rPr>
          <w:rFonts w:ascii="Arial" w:hAnsi="Arial" w:cs="Arial"/>
          <w:sz w:val="22"/>
          <w:szCs w:val="22"/>
        </w:rPr>
        <w:t xml:space="preserve"> </w:t>
      </w:r>
    </w:p>
    <w:p w14:paraId="53CB3496" w14:textId="77777777" w:rsidR="001D0BD1" w:rsidRPr="00503670" w:rsidRDefault="001D0BD1" w:rsidP="001D0BD1">
      <w:pPr>
        <w:pStyle w:val="Basetext"/>
        <w:spacing w:line="240" w:lineRule="auto"/>
        <w:rPr>
          <w:rFonts w:ascii="Arial" w:hAnsi="Arial" w:cs="Arial"/>
          <w:sz w:val="22"/>
          <w:szCs w:val="22"/>
        </w:rPr>
      </w:pPr>
    </w:p>
    <w:p w14:paraId="35AD2E24" w14:textId="77777777" w:rsidR="001D0BD1" w:rsidRPr="00503670" w:rsidRDefault="001D0BD1" w:rsidP="001D0BD1">
      <w:pPr>
        <w:pStyle w:val="Basetext"/>
        <w:numPr>
          <w:ilvl w:val="0"/>
          <w:numId w:val="2"/>
        </w:numPr>
        <w:spacing w:line="240" w:lineRule="auto"/>
        <w:ind w:left="426" w:hanging="426"/>
        <w:rPr>
          <w:rFonts w:ascii="Arial" w:hAnsi="Arial" w:cs="Arial"/>
          <w:sz w:val="22"/>
          <w:szCs w:val="22"/>
        </w:rPr>
      </w:pPr>
      <w:r w:rsidRPr="00503670">
        <w:rPr>
          <w:rFonts w:ascii="Arial" w:hAnsi="Arial" w:cs="Arial"/>
          <w:sz w:val="22"/>
          <w:szCs w:val="22"/>
        </w:rPr>
        <w:t>Define the terms ‘foreign contractor’; sub-contractor’; ‘income arising in Vietnam’;</w:t>
      </w:r>
      <w:r>
        <w:rPr>
          <w:rFonts w:ascii="Arial" w:hAnsi="Arial" w:cs="Arial"/>
          <w:sz w:val="22"/>
          <w:szCs w:val="22"/>
        </w:rPr>
        <w:t xml:space="preserve"> income from providing e-commerce platforms, income from providing digital servies without a permanent establishment,</w:t>
      </w:r>
      <w:r w:rsidRPr="00503670">
        <w:rPr>
          <w:rFonts w:ascii="Arial" w:hAnsi="Arial" w:cs="Arial"/>
          <w:sz w:val="22"/>
          <w:szCs w:val="22"/>
        </w:rPr>
        <w:t xml:space="preserve"> </w:t>
      </w:r>
      <w:r w:rsidRPr="00503670">
        <w:rPr>
          <w:rFonts w:ascii="Arial" w:hAnsi="Arial" w:cs="Arial"/>
          <w:sz w:val="22"/>
          <w:szCs w:val="22"/>
          <w:lang w:val="en-US" w:eastAsia="en-US"/>
        </w:rPr>
        <w:t>income from the transfer of ownership of or right to use assets;</w:t>
      </w:r>
      <w:r w:rsidRPr="00503670">
        <w:rPr>
          <w:rFonts w:ascii="Arial" w:hAnsi="Arial" w:cs="Arial"/>
          <w:sz w:val="22"/>
          <w:szCs w:val="22"/>
        </w:rPr>
        <w:t xml:space="preserve"> ‘royalty’; and ‘loan interest’.</w:t>
      </w:r>
      <w:r w:rsidRPr="00503670">
        <w:rPr>
          <w:rFonts w:ascii="Arial" w:hAnsi="Arial" w:cs="Arial"/>
          <w:bCs/>
          <w:sz w:val="22"/>
          <w:szCs w:val="22"/>
          <w:vertAlign w:val="superscript"/>
        </w:rPr>
        <w:t>[1]</w:t>
      </w:r>
      <w:r w:rsidRPr="00503670">
        <w:rPr>
          <w:rFonts w:ascii="Arial" w:hAnsi="Arial" w:cs="Arial"/>
          <w:sz w:val="22"/>
          <w:szCs w:val="22"/>
        </w:rPr>
        <w:t xml:space="preserve"> </w:t>
      </w:r>
    </w:p>
    <w:p w14:paraId="4FCFF823" w14:textId="77777777" w:rsidR="001D0BD1" w:rsidRPr="00503670" w:rsidRDefault="001D0BD1" w:rsidP="001D0BD1">
      <w:pPr>
        <w:pStyle w:val="Basetext"/>
        <w:spacing w:line="240" w:lineRule="auto"/>
        <w:rPr>
          <w:rFonts w:ascii="Arial" w:hAnsi="Arial" w:cs="Arial"/>
          <w:sz w:val="22"/>
          <w:szCs w:val="22"/>
        </w:rPr>
      </w:pPr>
    </w:p>
    <w:p w14:paraId="786F477B" w14:textId="77777777" w:rsidR="001D0BD1" w:rsidRPr="00503670" w:rsidRDefault="001D0BD1" w:rsidP="001D0BD1">
      <w:pPr>
        <w:pStyle w:val="Basetext"/>
        <w:spacing w:line="240" w:lineRule="auto"/>
        <w:rPr>
          <w:rFonts w:ascii="Arial" w:hAnsi="Arial" w:cs="Arial"/>
          <w:b/>
          <w:bCs/>
          <w:sz w:val="22"/>
          <w:szCs w:val="22"/>
        </w:rPr>
      </w:pPr>
      <w:r w:rsidRPr="00503670">
        <w:rPr>
          <w:rFonts w:ascii="Arial" w:hAnsi="Arial" w:cs="Arial"/>
          <w:b/>
          <w:bCs/>
          <w:sz w:val="22"/>
          <w:szCs w:val="22"/>
        </w:rPr>
        <w:t>Excluded topics</w:t>
      </w:r>
    </w:p>
    <w:p w14:paraId="601621AF" w14:textId="77777777" w:rsidR="001D0BD1" w:rsidRPr="00503670" w:rsidRDefault="001D0BD1" w:rsidP="001D0BD1">
      <w:pPr>
        <w:pStyle w:val="Basetext"/>
        <w:spacing w:line="240" w:lineRule="auto"/>
        <w:rPr>
          <w:rFonts w:ascii="Arial" w:hAnsi="Arial" w:cs="Arial"/>
          <w:b/>
          <w:bCs/>
          <w:sz w:val="22"/>
          <w:szCs w:val="22"/>
        </w:rPr>
      </w:pPr>
    </w:p>
    <w:p w14:paraId="4C1714E9" w14:textId="77777777" w:rsidR="001D0BD1" w:rsidRPr="00503670" w:rsidRDefault="001D0BD1" w:rsidP="001D0BD1">
      <w:pPr>
        <w:pStyle w:val="Basetext"/>
        <w:numPr>
          <w:ilvl w:val="0"/>
          <w:numId w:val="1"/>
        </w:numPr>
        <w:spacing w:line="240" w:lineRule="auto"/>
        <w:rPr>
          <w:rFonts w:ascii="Arial" w:hAnsi="Arial" w:cs="Arial"/>
          <w:i/>
          <w:iCs/>
          <w:sz w:val="22"/>
          <w:szCs w:val="22"/>
        </w:rPr>
      </w:pPr>
      <w:r w:rsidRPr="00503670">
        <w:rPr>
          <w:rFonts w:ascii="Arial" w:hAnsi="Arial" w:cs="Arial"/>
          <w:i/>
          <w:iCs/>
          <w:sz w:val="22"/>
          <w:szCs w:val="22"/>
        </w:rPr>
        <w:t>Definition of intellectual property rights and technology transfer in accordance with the Civil Code</w:t>
      </w:r>
    </w:p>
    <w:p w14:paraId="2C89FC6C" w14:textId="77777777" w:rsidR="001D0BD1" w:rsidRDefault="001D0BD1" w:rsidP="001D0BD1">
      <w:pPr>
        <w:pStyle w:val="Basetext"/>
        <w:spacing w:line="240" w:lineRule="auto"/>
        <w:ind w:left="360"/>
        <w:rPr>
          <w:rFonts w:ascii="Arial" w:hAnsi="Arial" w:cs="Arial"/>
          <w:i/>
          <w:iCs/>
          <w:sz w:val="22"/>
          <w:szCs w:val="22"/>
        </w:rPr>
      </w:pPr>
    </w:p>
    <w:p w14:paraId="44A5838A" w14:textId="77777777" w:rsidR="001D0BD1" w:rsidRDefault="001D0BD1" w:rsidP="001D0BD1">
      <w:pPr>
        <w:pStyle w:val="Basetext"/>
        <w:spacing w:line="240" w:lineRule="auto"/>
        <w:ind w:left="360"/>
        <w:rPr>
          <w:rFonts w:ascii="Arial" w:hAnsi="Arial" w:cs="Arial"/>
          <w:i/>
          <w:iCs/>
          <w:sz w:val="22"/>
          <w:szCs w:val="22"/>
        </w:rPr>
      </w:pPr>
    </w:p>
    <w:p w14:paraId="1CB429D7" w14:textId="77777777" w:rsidR="001D0BD1" w:rsidRPr="00503670" w:rsidRDefault="001D0BD1" w:rsidP="001D0BD1">
      <w:pPr>
        <w:pStyle w:val="Basetext"/>
        <w:spacing w:line="240" w:lineRule="auto"/>
        <w:ind w:left="360"/>
        <w:rPr>
          <w:rFonts w:ascii="Arial" w:hAnsi="Arial" w:cs="Arial"/>
          <w:i/>
          <w:iCs/>
          <w:sz w:val="22"/>
          <w:szCs w:val="22"/>
        </w:rPr>
      </w:pPr>
    </w:p>
    <w:p w14:paraId="46B5D560" w14:textId="77777777" w:rsidR="001D0BD1" w:rsidRPr="00503670" w:rsidRDefault="001D0BD1" w:rsidP="001D0BD1">
      <w:pPr>
        <w:pStyle w:val="Basetext"/>
        <w:spacing w:line="240" w:lineRule="auto"/>
        <w:ind w:left="426" w:hanging="426"/>
        <w:rPr>
          <w:rFonts w:ascii="Arial" w:hAnsi="Arial" w:cs="Arial"/>
          <w:b/>
          <w:bCs/>
          <w:sz w:val="22"/>
          <w:szCs w:val="22"/>
        </w:rPr>
      </w:pPr>
      <w:r w:rsidRPr="00503670">
        <w:rPr>
          <w:rFonts w:ascii="Arial" w:hAnsi="Arial" w:cs="Arial"/>
          <w:b/>
          <w:bCs/>
          <w:sz w:val="22"/>
          <w:szCs w:val="22"/>
        </w:rPr>
        <w:t>2.</w:t>
      </w:r>
      <w:r w:rsidRPr="00503670">
        <w:rPr>
          <w:rFonts w:ascii="Arial" w:hAnsi="Arial" w:cs="Arial"/>
          <w:b/>
          <w:bCs/>
          <w:sz w:val="22"/>
          <w:szCs w:val="22"/>
        </w:rPr>
        <w:tab/>
        <w:t>The computation of FCT liabilities</w:t>
      </w:r>
    </w:p>
    <w:p w14:paraId="48C7AD86" w14:textId="77777777" w:rsidR="001D0BD1" w:rsidRPr="00503670" w:rsidRDefault="001D0BD1" w:rsidP="001D0BD1">
      <w:pPr>
        <w:pStyle w:val="Basetext"/>
        <w:spacing w:line="240" w:lineRule="auto"/>
        <w:rPr>
          <w:rFonts w:ascii="Arial" w:hAnsi="Arial" w:cs="Arial"/>
          <w:sz w:val="22"/>
          <w:szCs w:val="22"/>
        </w:rPr>
      </w:pPr>
      <w:r w:rsidRPr="00503670">
        <w:rPr>
          <w:rFonts w:ascii="Arial" w:hAnsi="Arial" w:cs="Arial"/>
          <w:sz w:val="22"/>
          <w:szCs w:val="22"/>
        </w:rPr>
        <w:t xml:space="preserve"> </w:t>
      </w:r>
    </w:p>
    <w:p w14:paraId="2F58CBDE" w14:textId="77777777" w:rsidR="001D0BD1" w:rsidRDefault="001D0BD1" w:rsidP="001D0BD1">
      <w:pPr>
        <w:pStyle w:val="Basetext"/>
        <w:spacing w:line="240" w:lineRule="auto"/>
        <w:ind w:left="420" w:hanging="420"/>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Compute the VAT and CIT liabilities, and state the responsibilities for filing and payment for foreign contractors adopting the Vietnamese accounting system (VAS) (i.e. the actual method) and simplified VAS (i.e. hybrid method).</w:t>
      </w:r>
      <w:r w:rsidRPr="00503670">
        <w:rPr>
          <w:rFonts w:ascii="Arial" w:hAnsi="Arial" w:cs="Arial"/>
          <w:bCs/>
          <w:sz w:val="22"/>
          <w:szCs w:val="22"/>
          <w:vertAlign w:val="superscript"/>
        </w:rPr>
        <w:t>[2]</w:t>
      </w:r>
      <w:r w:rsidRPr="00503670">
        <w:rPr>
          <w:rFonts w:ascii="Arial" w:hAnsi="Arial" w:cs="Arial"/>
          <w:sz w:val="22"/>
          <w:szCs w:val="22"/>
        </w:rPr>
        <w:t xml:space="preserve"> </w:t>
      </w:r>
    </w:p>
    <w:p w14:paraId="7C91C37C" w14:textId="77777777" w:rsidR="001D0BD1" w:rsidRPr="00503670" w:rsidRDefault="001D0BD1" w:rsidP="001D0BD1">
      <w:pPr>
        <w:pStyle w:val="Basetext"/>
        <w:spacing w:line="240" w:lineRule="auto"/>
        <w:ind w:left="420" w:hanging="420"/>
        <w:rPr>
          <w:rFonts w:ascii="Arial" w:hAnsi="Arial" w:cs="Arial"/>
          <w:b/>
          <w:bCs/>
          <w:sz w:val="22"/>
          <w:szCs w:val="22"/>
        </w:rPr>
      </w:pPr>
    </w:p>
    <w:p w14:paraId="7F0562F4" w14:textId="77777777" w:rsidR="001D0BD1" w:rsidRDefault="001D0BD1" w:rsidP="001D0BD1">
      <w:pPr>
        <w:pStyle w:val="Basetext"/>
        <w:spacing w:line="240" w:lineRule="auto"/>
        <w:ind w:left="426" w:hanging="426"/>
        <w:rPr>
          <w:rFonts w:ascii="Arial" w:hAnsi="Arial" w:cs="Arial"/>
          <w:bCs/>
          <w:sz w:val="22"/>
          <w:szCs w:val="22"/>
        </w:rPr>
      </w:pPr>
      <w:r w:rsidRPr="00503670">
        <w:rPr>
          <w:rFonts w:ascii="Arial" w:hAnsi="Arial" w:cs="Arial"/>
          <w:sz w:val="22"/>
          <w:szCs w:val="22"/>
        </w:rPr>
        <w:t xml:space="preserve">b) </w:t>
      </w:r>
      <w:r w:rsidRPr="00503670">
        <w:rPr>
          <w:rFonts w:ascii="Arial" w:hAnsi="Arial" w:cs="Arial"/>
          <w:sz w:val="22"/>
          <w:szCs w:val="22"/>
        </w:rPr>
        <w:tab/>
        <w:t>Compute the VAT and CIT liabilities, and state the responsibilities for filing and payment for foreign contractors not adopting the Vietnamese accounting system (VAS) (i.e. deemed method).</w:t>
      </w:r>
      <w:r w:rsidRPr="00503670">
        <w:rPr>
          <w:rFonts w:ascii="Arial" w:hAnsi="Arial" w:cs="Arial"/>
          <w:bCs/>
          <w:sz w:val="22"/>
          <w:szCs w:val="22"/>
          <w:vertAlign w:val="superscript"/>
        </w:rPr>
        <w:t>[2]</w:t>
      </w:r>
      <w:r w:rsidRPr="00503670">
        <w:rPr>
          <w:rFonts w:ascii="Arial" w:hAnsi="Arial" w:cs="Arial"/>
          <w:bCs/>
          <w:sz w:val="22"/>
          <w:szCs w:val="22"/>
        </w:rPr>
        <w:t xml:space="preserve"> </w:t>
      </w:r>
    </w:p>
    <w:p w14:paraId="0CB23509" w14:textId="77777777" w:rsidR="001D0BD1" w:rsidRDefault="001D0BD1" w:rsidP="001D0BD1">
      <w:pPr>
        <w:pStyle w:val="Basetext"/>
        <w:spacing w:line="240" w:lineRule="auto"/>
        <w:ind w:left="426" w:hanging="426"/>
        <w:rPr>
          <w:rFonts w:ascii="Arial" w:hAnsi="Arial" w:cs="Arial"/>
          <w:bCs/>
          <w:sz w:val="22"/>
          <w:szCs w:val="22"/>
        </w:rPr>
      </w:pPr>
    </w:p>
    <w:p w14:paraId="2BA960A1" w14:textId="77777777" w:rsidR="001D0BD1" w:rsidRPr="00503670" w:rsidRDefault="001D0BD1" w:rsidP="001D0BD1">
      <w:pPr>
        <w:pStyle w:val="Basetext"/>
        <w:spacing w:line="240" w:lineRule="auto"/>
        <w:ind w:left="426" w:hanging="426"/>
        <w:rPr>
          <w:rFonts w:ascii="Arial" w:hAnsi="Arial" w:cs="Arial"/>
          <w:bCs/>
          <w:sz w:val="22"/>
          <w:szCs w:val="22"/>
        </w:rPr>
      </w:pPr>
      <w:r>
        <w:rPr>
          <w:rFonts w:ascii="Arial" w:hAnsi="Arial" w:cs="Arial"/>
          <w:bCs/>
          <w:sz w:val="22"/>
          <w:szCs w:val="22"/>
        </w:rPr>
        <w:t>c)</w:t>
      </w:r>
      <w:r>
        <w:rPr>
          <w:rFonts w:ascii="Arial" w:hAnsi="Arial" w:cs="Arial"/>
          <w:bCs/>
          <w:sz w:val="22"/>
          <w:szCs w:val="22"/>
        </w:rPr>
        <w:tab/>
        <w:t>Compute the VAT and CIT liabilities, and state the responsibilities for direct filing and payment for foreign contractors operating and earning income from Vietnam in e-commerce and digital services without a Permanent Establishment (i.e. direct filing methos)</w:t>
      </w:r>
    </w:p>
    <w:p w14:paraId="1BECC979" w14:textId="77777777" w:rsidR="001D0BD1" w:rsidRPr="00503670" w:rsidRDefault="001D0BD1" w:rsidP="001D0BD1">
      <w:pPr>
        <w:pStyle w:val="Basetext"/>
        <w:spacing w:line="240" w:lineRule="auto"/>
        <w:ind w:left="426" w:hanging="426"/>
        <w:rPr>
          <w:rFonts w:ascii="Arial" w:hAnsi="Arial" w:cs="Arial"/>
          <w:bCs/>
          <w:sz w:val="22"/>
          <w:szCs w:val="22"/>
        </w:rPr>
      </w:pPr>
    </w:p>
    <w:p w14:paraId="65F9D749" w14:textId="77777777" w:rsidR="001D0BD1" w:rsidRPr="00503670" w:rsidRDefault="001D0BD1" w:rsidP="001D0BD1">
      <w:pPr>
        <w:pStyle w:val="Basetext"/>
        <w:spacing w:line="240" w:lineRule="auto"/>
        <w:ind w:left="425" w:hanging="425"/>
        <w:rPr>
          <w:rFonts w:ascii="Arial" w:hAnsi="Arial" w:cs="Arial"/>
          <w:sz w:val="22"/>
          <w:szCs w:val="22"/>
        </w:rPr>
      </w:pPr>
      <w:r>
        <w:rPr>
          <w:rFonts w:ascii="Arial" w:hAnsi="Arial" w:cs="Arial"/>
          <w:sz w:val="22"/>
          <w:szCs w:val="22"/>
        </w:rPr>
        <w:t>d</w:t>
      </w:r>
      <w:r w:rsidRPr="00503670">
        <w:rPr>
          <w:rFonts w:ascii="Arial" w:hAnsi="Arial" w:cs="Arial"/>
          <w:sz w:val="22"/>
          <w:szCs w:val="22"/>
        </w:rPr>
        <w:t>)    Identify, compute and compare FCT implications between different arrangements.</w:t>
      </w:r>
      <w:r w:rsidRPr="00503670">
        <w:rPr>
          <w:rFonts w:ascii="Arial" w:hAnsi="Arial" w:cs="Arial"/>
          <w:bCs/>
          <w:sz w:val="22"/>
          <w:szCs w:val="22"/>
          <w:vertAlign w:val="superscript"/>
        </w:rPr>
        <w:t>[2]</w:t>
      </w:r>
    </w:p>
    <w:p w14:paraId="3CC4EB6E" w14:textId="77777777" w:rsidR="001D0BD1" w:rsidRPr="00503670" w:rsidRDefault="001D0BD1" w:rsidP="001D0BD1">
      <w:pPr>
        <w:pStyle w:val="Basetext"/>
        <w:spacing w:line="240" w:lineRule="auto"/>
        <w:rPr>
          <w:rFonts w:ascii="Arial" w:hAnsi="Arial" w:cs="Arial"/>
          <w:sz w:val="22"/>
          <w:szCs w:val="22"/>
        </w:rPr>
      </w:pPr>
      <w:r w:rsidRPr="00503670">
        <w:rPr>
          <w:rFonts w:ascii="Arial" w:hAnsi="Arial" w:cs="Arial"/>
          <w:sz w:val="22"/>
          <w:szCs w:val="22"/>
        </w:rPr>
        <w:t xml:space="preserve">  </w:t>
      </w:r>
    </w:p>
    <w:p w14:paraId="6988A19E" w14:textId="77777777" w:rsidR="001D0BD1" w:rsidRPr="00503670" w:rsidRDefault="001D0BD1" w:rsidP="001D0BD1">
      <w:pPr>
        <w:pStyle w:val="Basetext"/>
        <w:spacing w:line="240" w:lineRule="auto"/>
        <w:ind w:left="426" w:hanging="426"/>
        <w:rPr>
          <w:rFonts w:ascii="Arial" w:hAnsi="Arial" w:cs="Arial"/>
          <w:b/>
          <w:sz w:val="22"/>
          <w:szCs w:val="22"/>
          <w:vertAlign w:val="superscript"/>
        </w:rPr>
      </w:pPr>
      <w:r>
        <w:rPr>
          <w:rFonts w:ascii="Arial" w:hAnsi="Arial" w:cs="Arial"/>
          <w:iCs/>
          <w:sz w:val="22"/>
          <w:szCs w:val="22"/>
        </w:rPr>
        <w:t>e</w:t>
      </w:r>
      <w:r w:rsidRPr="00503670">
        <w:rPr>
          <w:rFonts w:ascii="Arial" w:hAnsi="Arial" w:cs="Arial"/>
          <w:iCs/>
          <w:sz w:val="22"/>
          <w:szCs w:val="22"/>
        </w:rPr>
        <w:t xml:space="preserve">) </w:t>
      </w:r>
      <w:r w:rsidRPr="00503670">
        <w:rPr>
          <w:rFonts w:ascii="Arial" w:hAnsi="Arial" w:cs="Arial"/>
          <w:iCs/>
          <w:sz w:val="22"/>
          <w:szCs w:val="22"/>
        </w:rPr>
        <w:tab/>
      </w:r>
      <w:r w:rsidRPr="00503670">
        <w:rPr>
          <w:rFonts w:ascii="Arial" w:hAnsi="Arial" w:cs="Arial"/>
          <w:iCs/>
          <w:sz w:val="22"/>
          <w:szCs w:val="22"/>
        </w:rPr>
        <w:tab/>
        <w:t xml:space="preserve">Apply the double taxation relief </w:t>
      </w:r>
      <w:r w:rsidRPr="00503670">
        <w:rPr>
          <w:rFonts w:ascii="Arial" w:hAnsi="Arial" w:cs="Arial"/>
          <w:sz w:val="22"/>
          <w:szCs w:val="22"/>
        </w:rPr>
        <w:t>provisions</w:t>
      </w:r>
      <w:r w:rsidRPr="00503670">
        <w:rPr>
          <w:rFonts w:ascii="Arial" w:hAnsi="Arial" w:cs="Arial"/>
          <w:iCs/>
          <w:sz w:val="22"/>
          <w:szCs w:val="22"/>
        </w:rPr>
        <w:t xml:space="preserve"> in the context of the FCT regime.</w:t>
      </w:r>
      <w:r w:rsidRPr="00503670">
        <w:rPr>
          <w:rFonts w:ascii="Arial" w:hAnsi="Arial" w:cs="Arial"/>
          <w:bCs/>
          <w:sz w:val="22"/>
          <w:szCs w:val="22"/>
          <w:vertAlign w:val="superscript"/>
        </w:rPr>
        <w:t>[2]</w:t>
      </w:r>
    </w:p>
    <w:p w14:paraId="55224BA9" w14:textId="77777777" w:rsidR="005333AD" w:rsidRDefault="005333AD"/>
    <w:sectPr w:rsidR="00533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sGoth BT">
    <w:altName w:val="Microsoft YaHe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D0EEB"/>
    <w:multiLevelType w:val="hybridMultilevel"/>
    <w:tmpl w:val="7DDA70EA"/>
    <w:lvl w:ilvl="0" w:tplc="08090017">
      <w:start w:val="1"/>
      <w:numFmt w:val="lowerLetter"/>
      <w:lvlText w:val="%1)"/>
      <w:lvlJc w:val="left"/>
      <w:pPr>
        <w:ind w:left="360" w:hanging="360"/>
      </w:pPr>
      <w:rPr>
        <w:rFonts w:hint="default"/>
        <w:b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73066D32"/>
    <w:multiLevelType w:val="hybridMultilevel"/>
    <w:tmpl w:val="A83806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40704350">
    <w:abstractNumId w:val="1"/>
  </w:num>
  <w:num w:numId="2" w16cid:durableId="1786584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D1"/>
    <w:rsid w:val="001D0BD1"/>
    <w:rsid w:val="005333AD"/>
    <w:rsid w:val="00A3461D"/>
    <w:rsid w:val="00C64D30"/>
    <w:rsid w:val="00DD2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4768"/>
  <w15:chartTrackingRefBased/>
  <w15:docId w15:val="{9F8A470A-34BE-40E2-8F05-3AC1B51A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D1"/>
    <w:rPr>
      <w:rFonts w:eastAsiaTheme="majorEastAsia" w:cstheme="majorBidi"/>
      <w:color w:val="272727" w:themeColor="text1" w:themeTint="D8"/>
    </w:rPr>
  </w:style>
  <w:style w:type="paragraph" w:styleId="Title">
    <w:name w:val="Title"/>
    <w:basedOn w:val="Normal"/>
    <w:next w:val="Normal"/>
    <w:link w:val="TitleChar"/>
    <w:uiPriority w:val="10"/>
    <w:qFormat/>
    <w:rsid w:val="001D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D1"/>
    <w:pPr>
      <w:spacing w:before="160"/>
      <w:jc w:val="center"/>
    </w:pPr>
    <w:rPr>
      <w:i/>
      <w:iCs/>
      <w:color w:val="404040" w:themeColor="text1" w:themeTint="BF"/>
    </w:rPr>
  </w:style>
  <w:style w:type="character" w:customStyle="1" w:styleId="QuoteChar">
    <w:name w:val="Quote Char"/>
    <w:basedOn w:val="DefaultParagraphFont"/>
    <w:link w:val="Quote"/>
    <w:uiPriority w:val="29"/>
    <w:rsid w:val="001D0BD1"/>
    <w:rPr>
      <w:i/>
      <w:iCs/>
      <w:color w:val="404040" w:themeColor="text1" w:themeTint="BF"/>
    </w:rPr>
  </w:style>
  <w:style w:type="paragraph" w:styleId="ListParagraph">
    <w:name w:val="List Paragraph"/>
    <w:basedOn w:val="Normal"/>
    <w:uiPriority w:val="34"/>
    <w:qFormat/>
    <w:rsid w:val="001D0BD1"/>
    <w:pPr>
      <w:ind w:left="720"/>
      <w:contextualSpacing/>
    </w:pPr>
  </w:style>
  <w:style w:type="character" w:styleId="IntenseEmphasis">
    <w:name w:val="Intense Emphasis"/>
    <w:basedOn w:val="DefaultParagraphFont"/>
    <w:uiPriority w:val="21"/>
    <w:qFormat/>
    <w:rsid w:val="001D0BD1"/>
    <w:rPr>
      <w:i/>
      <w:iCs/>
      <w:color w:val="0F4761" w:themeColor="accent1" w:themeShade="BF"/>
    </w:rPr>
  </w:style>
  <w:style w:type="paragraph" w:styleId="IntenseQuote">
    <w:name w:val="Intense Quote"/>
    <w:basedOn w:val="Normal"/>
    <w:next w:val="Normal"/>
    <w:link w:val="IntenseQuoteChar"/>
    <w:uiPriority w:val="30"/>
    <w:qFormat/>
    <w:rsid w:val="001D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BD1"/>
    <w:rPr>
      <w:i/>
      <w:iCs/>
      <w:color w:val="0F4761" w:themeColor="accent1" w:themeShade="BF"/>
    </w:rPr>
  </w:style>
  <w:style w:type="character" w:styleId="IntenseReference">
    <w:name w:val="Intense Reference"/>
    <w:basedOn w:val="DefaultParagraphFont"/>
    <w:uiPriority w:val="32"/>
    <w:qFormat/>
    <w:rsid w:val="001D0BD1"/>
    <w:rPr>
      <w:b/>
      <w:bCs/>
      <w:smallCaps/>
      <w:color w:val="0F4761" w:themeColor="accent1" w:themeShade="BF"/>
      <w:spacing w:val="5"/>
    </w:rPr>
  </w:style>
  <w:style w:type="paragraph" w:customStyle="1" w:styleId="Basetext">
    <w:name w:val="Base text"/>
    <w:basedOn w:val="Normal"/>
    <w:link w:val="BasetextChar"/>
    <w:rsid w:val="001D0BD1"/>
    <w:pPr>
      <w:tabs>
        <w:tab w:val="left" w:pos="425"/>
      </w:tabs>
      <w:spacing w:after="0" w:line="260" w:lineRule="exact"/>
    </w:pPr>
    <w:rPr>
      <w:rFonts w:ascii="NewsGoth BT" w:eastAsia="Times New Roman" w:hAnsi="NewsGoth BT" w:cs="Times New Roman"/>
      <w:kern w:val="0"/>
      <w:sz w:val="20"/>
      <w:szCs w:val="20"/>
      <w:lang w:val="en-GB" w:eastAsia="en-GB"/>
      <w14:ligatures w14:val="none"/>
    </w:rPr>
  </w:style>
  <w:style w:type="character" w:customStyle="1" w:styleId="BasetextChar">
    <w:name w:val="Base text Char"/>
    <w:link w:val="Basetext"/>
    <w:rsid w:val="001D0BD1"/>
    <w:rPr>
      <w:rFonts w:ascii="NewsGoth BT" w:eastAsia="Times New Roman" w:hAnsi="NewsGoth BT" w:cs="Times New Roman"/>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1343</Characters>
  <Application>Microsoft Office Word</Application>
  <DocSecurity>0</DocSecurity>
  <Lines>37</Lines>
  <Paragraphs>13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2</cp:revision>
  <dcterms:created xsi:type="dcterms:W3CDTF">2026-01-15T17:13:00Z</dcterms:created>
  <dcterms:modified xsi:type="dcterms:W3CDTF">2026-01-15T17:13:00Z</dcterms:modified>
</cp:coreProperties>
</file>