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E2EA4" w14:textId="77777777" w:rsidR="003F0189" w:rsidRPr="00503670" w:rsidRDefault="003F0189" w:rsidP="003F0189">
      <w:pPr>
        <w:pStyle w:val="AHeading"/>
        <w:tabs>
          <w:tab w:val="clear" w:pos="425"/>
          <w:tab w:val="left" w:pos="426"/>
        </w:tabs>
        <w:spacing w:line="240" w:lineRule="auto"/>
        <w:ind w:left="0" w:firstLine="0"/>
        <w:rPr>
          <w:rFonts w:ascii="Arial" w:hAnsi="Arial" w:cs="Arial"/>
          <w:sz w:val="28"/>
          <w:szCs w:val="22"/>
        </w:rPr>
      </w:pPr>
      <w:r w:rsidRPr="00503670">
        <w:rPr>
          <w:rFonts w:ascii="Arial" w:hAnsi="Arial" w:cs="Arial"/>
          <w:caps w:val="0"/>
          <w:sz w:val="28"/>
          <w:szCs w:val="22"/>
        </w:rPr>
        <w:t>Personal income tax</w:t>
      </w:r>
    </w:p>
    <w:p w14:paraId="63D03686" w14:textId="77777777" w:rsidR="003F0189" w:rsidRPr="00503670" w:rsidRDefault="003F0189" w:rsidP="003F0189">
      <w:pPr>
        <w:ind w:left="360"/>
        <w:rPr>
          <w:rFonts w:ascii="Arial" w:hAnsi="Arial" w:cs="Arial"/>
          <w:b/>
          <w:bCs/>
        </w:rPr>
      </w:pPr>
    </w:p>
    <w:p w14:paraId="45C89091" w14:textId="36932610" w:rsidR="003F0189" w:rsidRPr="00503670" w:rsidRDefault="003F0189" w:rsidP="003F0189">
      <w:pPr>
        <w:pStyle w:val="Basetext"/>
        <w:spacing w:line="240" w:lineRule="auto"/>
        <w:rPr>
          <w:rFonts w:ascii="Arial" w:hAnsi="Arial" w:cs="Arial"/>
          <w:b/>
          <w:sz w:val="22"/>
          <w:szCs w:val="22"/>
        </w:rPr>
      </w:pPr>
      <w:r w:rsidRPr="00503670">
        <w:rPr>
          <w:rFonts w:ascii="Arial" w:hAnsi="Arial" w:cs="Arial"/>
          <w:b/>
          <w:sz w:val="22"/>
          <w:szCs w:val="22"/>
        </w:rPr>
        <w:t xml:space="preserve">1. </w:t>
      </w:r>
      <w:r w:rsidRPr="00503670">
        <w:rPr>
          <w:rFonts w:ascii="Arial" w:hAnsi="Arial" w:cs="Arial"/>
          <w:b/>
          <w:sz w:val="22"/>
          <w:szCs w:val="22"/>
        </w:rPr>
        <w:tab/>
        <w:t>The scope of personal income tax (PIT)</w:t>
      </w:r>
    </w:p>
    <w:p w14:paraId="3A5ED501" w14:textId="77777777" w:rsidR="003F0189" w:rsidRPr="00503670" w:rsidRDefault="003F0189" w:rsidP="003F0189">
      <w:pPr>
        <w:pStyle w:val="Basetext"/>
        <w:spacing w:line="240" w:lineRule="auto"/>
        <w:rPr>
          <w:rFonts w:ascii="Arial" w:hAnsi="Arial" w:cs="Arial"/>
          <w:sz w:val="22"/>
          <w:szCs w:val="22"/>
        </w:rPr>
      </w:pPr>
    </w:p>
    <w:p w14:paraId="631E6865" w14:textId="77777777" w:rsidR="003F0189" w:rsidRPr="00503670" w:rsidRDefault="003F0189" w:rsidP="003F0189">
      <w:pPr>
        <w:pStyle w:val="Basetext"/>
        <w:spacing w:line="240" w:lineRule="auto"/>
        <w:ind w:left="426" w:hanging="426"/>
        <w:rPr>
          <w:rFonts w:ascii="Arial" w:hAnsi="Arial" w:cs="Arial"/>
          <w:sz w:val="22"/>
          <w:szCs w:val="22"/>
        </w:rPr>
      </w:pPr>
      <w:r w:rsidRPr="00503670">
        <w:rPr>
          <w:rFonts w:ascii="Arial" w:hAnsi="Arial" w:cs="Arial"/>
          <w:sz w:val="22"/>
          <w:szCs w:val="22"/>
        </w:rPr>
        <w:t xml:space="preserve">a) </w:t>
      </w:r>
      <w:r w:rsidRPr="00503670">
        <w:rPr>
          <w:rFonts w:ascii="Arial" w:hAnsi="Arial" w:cs="Arial"/>
          <w:sz w:val="22"/>
          <w:szCs w:val="22"/>
        </w:rPr>
        <w:tab/>
        <w:t>Identify the individuals, resident and non-resident, liable to pay PIT.</w:t>
      </w:r>
      <w:r w:rsidRPr="00503670">
        <w:rPr>
          <w:rStyle w:val="Superscript"/>
          <w:rFonts w:ascii="Arial" w:hAnsi="Arial" w:cs="Arial"/>
          <w:color w:val="auto"/>
          <w:sz w:val="22"/>
          <w:szCs w:val="22"/>
        </w:rPr>
        <w:t>[2]</w:t>
      </w:r>
    </w:p>
    <w:p w14:paraId="2097CD26" w14:textId="77777777" w:rsidR="003F0189" w:rsidRPr="00503670" w:rsidRDefault="003F0189" w:rsidP="003F0189">
      <w:pPr>
        <w:pStyle w:val="Basetext"/>
        <w:spacing w:line="240" w:lineRule="auto"/>
        <w:rPr>
          <w:rFonts w:ascii="Arial" w:hAnsi="Arial" w:cs="Arial"/>
          <w:sz w:val="22"/>
          <w:szCs w:val="22"/>
        </w:rPr>
      </w:pPr>
    </w:p>
    <w:p w14:paraId="7AA5F834" w14:textId="77777777" w:rsidR="003F0189" w:rsidRPr="00503670" w:rsidRDefault="003F0189" w:rsidP="003F0189">
      <w:pPr>
        <w:pStyle w:val="Basetext"/>
        <w:spacing w:line="240" w:lineRule="auto"/>
        <w:ind w:left="420" w:hanging="420"/>
        <w:rPr>
          <w:rFonts w:ascii="Arial" w:hAnsi="Arial" w:cs="Arial"/>
          <w:sz w:val="22"/>
          <w:szCs w:val="22"/>
        </w:rPr>
      </w:pPr>
      <w:r w:rsidRPr="00503670">
        <w:rPr>
          <w:rFonts w:ascii="Arial" w:hAnsi="Arial" w:cs="Arial"/>
          <w:sz w:val="22"/>
          <w:szCs w:val="22"/>
        </w:rPr>
        <w:t xml:space="preserve">b) </w:t>
      </w:r>
      <w:r w:rsidRPr="00503670">
        <w:rPr>
          <w:rFonts w:ascii="Arial" w:hAnsi="Arial" w:cs="Arial"/>
          <w:sz w:val="22"/>
          <w:szCs w:val="22"/>
        </w:rPr>
        <w:tab/>
        <w:t>Explain how the tax residence of an individual is determined.</w:t>
      </w:r>
      <w:r w:rsidRPr="00503670">
        <w:rPr>
          <w:rStyle w:val="Superscript"/>
          <w:rFonts w:ascii="Arial" w:hAnsi="Arial" w:cs="Arial"/>
          <w:color w:val="auto"/>
          <w:sz w:val="22"/>
          <w:szCs w:val="22"/>
        </w:rPr>
        <w:t>[2]</w:t>
      </w:r>
    </w:p>
    <w:p w14:paraId="4C2FD515" w14:textId="77777777" w:rsidR="003F0189" w:rsidRPr="00503670" w:rsidRDefault="003F0189" w:rsidP="003F0189">
      <w:pPr>
        <w:pStyle w:val="Basetext"/>
        <w:spacing w:line="240" w:lineRule="auto"/>
        <w:rPr>
          <w:rFonts w:ascii="Arial" w:hAnsi="Arial" w:cs="Arial"/>
          <w:sz w:val="22"/>
          <w:szCs w:val="22"/>
        </w:rPr>
      </w:pPr>
    </w:p>
    <w:p w14:paraId="620E5993" w14:textId="77777777" w:rsidR="003F0189" w:rsidRPr="00503670" w:rsidRDefault="003F0189" w:rsidP="003F0189">
      <w:pPr>
        <w:pStyle w:val="Basetext"/>
        <w:spacing w:line="240" w:lineRule="auto"/>
        <w:ind w:left="420" w:hanging="420"/>
        <w:rPr>
          <w:rFonts w:ascii="Arial" w:hAnsi="Arial" w:cs="Arial"/>
          <w:sz w:val="22"/>
          <w:szCs w:val="22"/>
        </w:rPr>
      </w:pPr>
      <w:r w:rsidRPr="00503670">
        <w:rPr>
          <w:rFonts w:ascii="Arial" w:hAnsi="Arial" w:cs="Arial"/>
          <w:sz w:val="22"/>
          <w:szCs w:val="22"/>
        </w:rPr>
        <w:t xml:space="preserve">c) </w:t>
      </w:r>
      <w:r w:rsidRPr="00503670">
        <w:rPr>
          <w:rFonts w:ascii="Arial" w:hAnsi="Arial" w:cs="Arial"/>
          <w:sz w:val="22"/>
          <w:szCs w:val="22"/>
        </w:rPr>
        <w:tab/>
        <w:t>Recognise the difference in the tax treatment of a resident individual and a non-resident individual.</w:t>
      </w:r>
      <w:r w:rsidRPr="00503670">
        <w:rPr>
          <w:rStyle w:val="Superscript"/>
          <w:rFonts w:ascii="Arial" w:hAnsi="Arial" w:cs="Arial"/>
          <w:color w:val="auto"/>
          <w:sz w:val="22"/>
          <w:szCs w:val="22"/>
        </w:rPr>
        <w:t>[2]</w:t>
      </w:r>
    </w:p>
    <w:p w14:paraId="5B8F392A" w14:textId="77777777" w:rsidR="003F0189" w:rsidRPr="00503670" w:rsidRDefault="003F0189" w:rsidP="003F0189">
      <w:pPr>
        <w:pStyle w:val="Basetext"/>
        <w:spacing w:line="240" w:lineRule="auto"/>
        <w:ind w:left="426" w:hanging="426"/>
        <w:rPr>
          <w:rFonts w:ascii="Arial" w:hAnsi="Arial" w:cs="Arial"/>
          <w:sz w:val="22"/>
          <w:szCs w:val="22"/>
        </w:rPr>
      </w:pPr>
    </w:p>
    <w:p w14:paraId="2090D527" w14:textId="77777777" w:rsidR="003F0189" w:rsidRPr="00503670" w:rsidRDefault="003F0189" w:rsidP="003F0189">
      <w:pPr>
        <w:pStyle w:val="Basetext"/>
        <w:spacing w:line="240" w:lineRule="auto"/>
        <w:ind w:left="426" w:hanging="426"/>
        <w:rPr>
          <w:rFonts w:ascii="Arial" w:hAnsi="Arial" w:cs="Arial"/>
          <w:sz w:val="22"/>
          <w:szCs w:val="22"/>
        </w:rPr>
      </w:pPr>
      <w:r w:rsidRPr="00503670">
        <w:rPr>
          <w:rFonts w:ascii="Arial" w:hAnsi="Arial" w:cs="Arial"/>
          <w:sz w:val="22"/>
          <w:szCs w:val="22"/>
        </w:rPr>
        <w:t xml:space="preserve">d) </w:t>
      </w:r>
      <w:r w:rsidRPr="00503670">
        <w:rPr>
          <w:rFonts w:ascii="Arial" w:hAnsi="Arial" w:cs="Arial"/>
          <w:sz w:val="22"/>
          <w:szCs w:val="22"/>
        </w:rPr>
        <w:tab/>
        <w:t>Recognise the difference in the tax treatment of income sourced from Vietnam or outside of Vietnam for residents and non-residents.</w:t>
      </w:r>
      <w:r w:rsidRPr="00503670">
        <w:rPr>
          <w:rStyle w:val="Superscript"/>
          <w:rFonts w:ascii="Arial" w:hAnsi="Arial" w:cs="Arial"/>
          <w:color w:val="auto"/>
          <w:sz w:val="22"/>
          <w:szCs w:val="22"/>
        </w:rPr>
        <w:t>[2]</w:t>
      </w:r>
    </w:p>
    <w:p w14:paraId="6F4E0B49" w14:textId="77777777" w:rsidR="003F0189" w:rsidRPr="00503670" w:rsidRDefault="003F0189" w:rsidP="003F0189">
      <w:pPr>
        <w:pStyle w:val="Basetext"/>
        <w:spacing w:line="240" w:lineRule="auto"/>
        <w:ind w:left="426" w:hanging="426"/>
        <w:rPr>
          <w:rFonts w:ascii="Arial" w:hAnsi="Arial" w:cs="Arial"/>
          <w:sz w:val="22"/>
          <w:szCs w:val="22"/>
        </w:rPr>
      </w:pPr>
      <w:r w:rsidRPr="00503670">
        <w:rPr>
          <w:rFonts w:ascii="Arial" w:hAnsi="Arial" w:cs="Arial"/>
          <w:sz w:val="22"/>
          <w:szCs w:val="22"/>
        </w:rPr>
        <w:t xml:space="preserve">e) </w:t>
      </w:r>
      <w:r w:rsidRPr="00503670">
        <w:rPr>
          <w:rFonts w:ascii="Arial" w:hAnsi="Arial" w:cs="Arial"/>
          <w:sz w:val="22"/>
          <w:szCs w:val="22"/>
        </w:rPr>
        <w:tab/>
        <w:t>Understand how a double taxation agreement can affect the liability to taxation of certain classes of individual and of different types of income.</w:t>
      </w:r>
      <w:r w:rsidRPr="00503670">
        <w:rPr>
          <w:rStyle w:val="Superscript"/>
          <w:rFonts w:ascii="Arial" w:hAnsi="Arial" w:cs="Arial"/>
          <w:color w:val="auto"/>
          <w:sz w:val="22"/>
          <w:szCs w:val="22"/>
        </w:rPr>
        <w:t>[2]</w:t>
      </w:r>
    </w:p>
    <w:p w14:paraId="2013F2B9" w14:textId="77777777" w:rsidR="003F0189" w:rsidRPr="00503670" w:rsidRDefault="003F0189" w:rsidP="003F0189">
      <w:pPr>
        <w:pStyle w:val="Basetext"/>
        <w:spacing w:line="240" w:lineRule="auto"/>
        <w:rPr>
          <w:rFonts w:ascii="Arial" w:hAnsi="Arial" w:cs="Arial"/>
          <w:sz w:val="22"/>
          <w:szCs w:val="22"/>
        </w:rPr>
      </w:pPr>
    </w:p>
    <w:p w14:paraId="385358C8" w14:textId="77777777" w:rsidR="003F0189" w:rsidRPr="00503670" w:rsidRDefault="003F0189" w:rsidP="003F0189">
      <w:pPr>
        <w:pStyle w:val="Basetext"/>
        <w:spacing w:line="240" w:lineRule="auto"/>
        <w:rPr>
          <w:rFonts w:ascii="Arial" w:hAnsi="Arial" w:cs="Arial"/>
          <w:b/>
          <w:bCs/>
          <w:sz w:val="22"/>
          <w:szCs w:val="22"/>
        </w:rPr>
      </w:pPr>
      <w:r w:rsidRPr="00503670">
        <w:rPr>
          <w:rFonts w:ascii="Arial" w:hAnsi="Arial" w:cs="Arial"/>
          <w:b/>
          <w:bCs/>
          <w:sz w:val="22"/>
          <w:szCs w:val="22"/>
        </w:rPr>
        <w:t>2.</w:t>
      </w:r>
      <w:r w:rsidRPr="00503670">
        <w:rPr>
          <w:rFonts w:ascii="Arial" w:hAnsi="Arial" w:cs="Arial"/>
          <w:b/>
          <w:bCs/>
          <w:sz w:val="22"/>
          <w:szCs w:val="22"/>
        </w:rPr>
        <w:tab/>
        <w:t>Income subject to PIT</w:t>
      </w:r>
    </w:p>
    <w:p w14:paraId="7081C59F" w14:textId="77777777" w:rsidR="003F0189" w:rsidRPr="00503670" w:rsidRDefault="003F0189" w:rsidP="003F0189">
      <w:pPr>
        <w:pStyle w:val="Basetext"/>
        <w:spacing w:line="240" w:lineRule="auto"/>
        <w:rPr>
          <w:rFonts w:ascii="Arial" w:hAnsi="Arial" w:cs="Arial"/>
          <w:sz w:val="22"/>
          <w:szCs w:val="22"/>
        </w:rPr>
      </w:pPr>
    </w:p>
    <w:p w14:paraId="3D876437" w14:textId="77777777" w:rsidR="003F0189" w:rsidRPr="00503670" w:rsidRDefault="003F0189" w:rsidP="003F0189">
      <w:pPr>
        <w:pStyle w:val="Basetext"/>
        <w:spacing w:line="240" w:lineRule="auto"/>
        <w:ind w:left="426" w:hanging="426"/>
        <w:rPr>
          <w:rFonts w:ascii="Arial" w:hAnsi="Arial" w:cs="Arial"/>
          <w:sz w:val="22"/>
          <w:szCs w:val="22"/>
        </w:rPr>
      </w:pPr>
      <w:r w:rsidRPr="00503670">
        <w:rPr>
          <w:rFonts w:ascii="Arial" w:hAnsi="Arial" w:cs="Arial"/>
          <w:sz w:val="22"/>
          <w:szCs w:val="22"/>
        </w:rPr>
        <w:t xml:space="preserve">a) </w:t>
      </w:r>
      <w:r w:rsidRPr="00503670">
        <w:rPr>
          <w:rFonts w:ascii="Arial" w:hAnsi="Arial" w:cs="Arial"/>
          <w:sz w:val="22"/>
          <w:szCs w:val="22"/>
        </w:rPr>
        <w:tab/>
      </w:r>
      <w:r w:rsidRPr="00503670">
        <w:rPr>
          <w:rFonts w:ascii="Arial" w:hAnsi="Arial" w:cs="Arial"/>
          <w:sz w:val="22"/>
          <w:szCs w:val="22"/>
        </w:rPr>
        <w:tab/>
        <w:t>Explain the basis of assessment for income derived by an individual.</w:t>
      </w:r>
      <w:r w:rsidRPr="00503670">
        <w:rPr>
          <w:rFonts w:ascii="Arial" w:hAnsi="Arial" w:cs="Arial"/>
          <w:sz w:val="22"/>
          <w:szCs w:val="22"/>
          <w:vertAlign w:val="superscript"/>
        </w:rPr>
        <w:t>[2]</w:t>
      </w:r>
    </w:p>
    <w:p w14:paraId="0E1C6AC6" w14:textId="77777777" w:rsidR="003F0189" w:rsidRPr="00503670" w:rsidRDefault="003F0189" w:rsidP="003F0189">
      <w:pPr>
        <w:pStyle w:val="Basetext"/>
        <w:spacing w:line="240" w:lineRule="auto"/>
        <w:rPr>
          <w:rFonts w:ascii="Arial" w:hAnsi="Arial" w:cs="Arial"/>
          <w:sz w:val="22"/>
          <w:szCs w:val="22"/>
        </w:rPr>
      </w:pPr>
      <w:r w:rsidRPr="00503670">
        <w:rPr>
          <w:rFonts w:ascii="Arial" w:hAnsi="Arial" w:cs="Arial"/>
          <w:sz w:val="22"/>
          <w:szCs w:val="22"/>
        </w:rPr>
        <w:t xml:space="preserve"> </w:t>
      </w:r>
    </w:p>
    <w:p w14:paraId="7338EAC5" w14:textId="77777777" w:rsidR="003F0189" w:rsidRPr="00503670" w:rsidRDefault="003F0189" w:rsidP="003F0189">
      <w:pPr>
        <w:pStyle w:val="Basetext"/>
        <w:spacing w:line="240" w:lineRule="auto"/>
        <w:ind w:left="426" w:hanging="426"/>
        <w:rPr>
          <w:rFonts w:ascii="Arial" w:hAnsi="Arial" w:cs="Arial"/>
          <w:sz w:val="22"/>
          <w:szCs w:val="22"/>
        </w:rPr>
      </w:pPr>
      <w:r w:rsidRPr="00503670">
        <w:rPr>
          <w:rFonts w:ascii="Arial" w:hAnsi="Arial" w:cs="Arial"/>
          <w:sz w:val="22"/>
          <w:szCs w:val="22"/>
        </w:rPr>
        <w:t xml:space="preserve">b) </w:t>
      </w:r>
      <w:r w:rsidRPr="00503670">
        <w:rPr>
          <w:rFonts w:ascii="Arial" w:hAnsi="Arial" w:cs="Arial"/>
          <w:sz w:val="22"/>
          <w:szCs w:val="22"/>
        </w:rPr>
        <w:tab/>
        <w:t>Identify exempt income, allowances, benefits and receipts not subject to PIT and reductions in tax.</w:t>
      </w:r>
      <w:r w:rsidRPr="00503670">
        <w:rPr>
          <w:rFonts w:ascii="Arial" w:hAnsi="Arial" w:cs="Arial"/>
          <w:sz w:val="22"/>
          <w:szCs w:val="22"/>
          <w:vertAlign w:val="superscript"/>
        </w:rPr>
        <w:t>[2]</w:t>
      </w:r>
    </w:p>
    <w:p w14:paraId="69937449" w14:textId="77777777" w:rsidR="003F0189" w:rsidRPr="00503670" w:rsidRDefault="003F0189" w:rsidP="003F0189">
      <w:pPr>
        <w:pStyle w:val="Basetext"/>
        <w:spacing w:line="240" w:lineRule="auto"/>
        <w:rPr>
          <w:rFonts w:ascii="Arial" w:hAnsi="Arial" w:cs="Arial"/>
          <w:sz w:val="22"/>
          <w:szCs w:val="22"/>
        </w:rPr>
      </w:pPr>
    </w:p>
    <w:p w14:paraId="58E103F0" w14:textId="77777777" w:rsidR="003F0189" w:rsidRPr="00503670" w:rsidRDefault="003F0189" w:rsidP="003F0189">
      <w:pPr>
        <w:pStyle w:val="Basetext"/>
        <w:spacing w:line="240" w:lineRule="auto"/>
        <w:ind w:left="426" w:hanging="426"/>
        <w:rPr>
          <w:rFonts w:ascii="Arial" w:hAnsi="Arial" w:cs="Arial"/>
          <w:sz w:val="22"/>
          <w:szCs w:val="22"/>
        </w:rPr>
      </w:pPr>
      <w:r w:rsidRPr="00503670">
        <w:rPr>
          <w:rFonts w:ascii="Arial" w:hAnsi="Arial" w:cs="Arial"/>
          <w:sz w:val="22"/>
          <w:szCs w:val="22"/>
        </w:rPr>
        <w:t xml:space="preserve">c) </w:t>
      </w:r>
      <w:r w:rsidRPr="00503670">
        <w:rPr>
          <w:rFonts w:ascii="Arial" w:hAnsi="Arial" w:cs="Arial"/>
          <w:sz w:val="22"/>
          <w:szCs w:val="22"/>
        </w:rPr>
        <w:tab/>
      </w:r>
      <w:r w:rsidRPr="00503670">
        <w:rPr>
          <w:rFonts w:ascii="Arial" w:hAnsi="Arial" w:cs="Arial"/>
          <w:sz w:val="22"/>
          <w:szCs w:val="22"/>
        </w:rPr>
        <w:tab/>
        <w:t>Distinguish between income which is subject to progressive PIT rates and income which is subject to specific PIT rates.</w:t>
      </w:r>
      <w:r w:rsidRPr="00503670">
        <w:rPr>
          <w:rFonts w:ascii="Arial" w:hAnsi="Arial" w:cs="Arial"/>
          <w:sz w:val="22"/>
          <w:szCs w:val="22"/>
          <w:vertAlign w:val="superscript"/>
        </w:rPr>
        <w:t>[2]</w:t>
      </w:r>
    </w:p>
    <w:p w14:paraId="4B60EBD9" w14:textId="77777777" w:rsidR="003F0189" w:rsidRPr="00503670" w:rsidRDefault="003F0189" w:rsidP="003F0189">
      <w:pPr>
        <w:pStyle w:val="Basetext"/>
        <w:spacing w:line="240" w:lineRule="auto"/>
        <w:rPr>
          <w:rFonts w:ascii="Arial" w:hAnsi="Arial" w:cs="Arial"/>
          <w:sz w:val="22"/>
          <w:szCs w:val="22"/>
        </w:rPr>
      </w:pPr>
    </w:p>
    <w:p w14:paraId="6044BF9E" w14:textId="77777777" w:rsidR="003F0189" w:rsidRPr="00503670" w:rsidRDefault="003F0189" w:rsidP="003F0189">
      <w:pPr>
        <w:pStyle w:val="Basetext"/>
        <w:spacing w:line="240" w:lineRule="auto"/>
        <w:ind w:left="420" w:hanging="420"/>
        <w:rPr>
          <w:rFonts w:ascii="Arial" w:hAnsi="Arial" w:cs="Arial"/>
          <w:sz w:val="22"/>
          <w:szCs w:val="22"/>
        </w:rPr>
      </w:pPr>
      <w:r w:rsidRPr="00503670">
        <w:rPr>
          <w:rFonts w:ascii="Arial" w:hAnsi="Arial" w:cs="Arial"/>
          <w:sz w:val="22"/>
          <w:szCs w:val="22"/>
        </w:rPr>
        <w:t xml:space="preserve">d) </w:t>
      </w:r>
      <w:r w:rsidRPr="00503670">
        <w:rPr>
          <w:rFonts w:ascii="Arial" w:hAnsi="Arial" w:cs="Arial"/>
          <w:sz w:val="22"/>
          <w:szCs w:val="22"/>
        </w:rPr>
        <w:tab/>
      </w:r>
      <w:r w:rsidRPr="00503670">
        <w:rPr>
          <w:rFonts w:ascii="Arial" w:hAnsi="Arial" w:cs="Arial"/>
          <w:sz w:val="22"/>
          <w:szCs w:val="22"/>
        </w:rPr>
        <w:tab/>
        <w:t>Explain how the attribution of income is determined.</w:t>
      </w:r>
      <w:r w:rsidRPr="00503670">
        <w:rPr>
          <w:rFonts w:ascii="Arial" w:hAnsi="Arial" w:cs="Arial"/>
          <w:sz w:val="22"/>
          <w:szCs w:val="22"/>
          <w:vertAlign w:val="superscript"/>
        </w:rPr>
        <w:t>[2]</w:t>
      </w:r>
    </w:p>
    <w:p w14:paraId="4877FDCB" w14:textId="77777777" w:rsidR="003F0189" w:rsidRPr="00503670" w:rsidRDefault="003F0189" w:rsidP="003F0189">
      <w:pPr>
        <w:pStyle w:val="Basetext"/>
        <w:spacing w:line="240" w:lineRule="auto"/>
        <w:rPr>
          <w:rFonts w:ascii="Arial" w:hAnsi="Arial" w:cs="Arial"/>
          <w:sz w:val="22"/>
          <w:szCs w:val="22"/>
        </w:rPr>
      </w:pPr>
    </w:p>
    <w:p w14:paraId="3E503614" w14:textId="77777777" w:rsidR="003F0189" w:rsidRPr="00503670" w:rsidRDefault="003F0189" w:rsidP="003F0189">
      <w:pPr>
        <w:pStyle w:val="Basetext"/>
        <w:tabs>
          <w:tab w:val="clear" w:pos="425"/>
          <w:tab w:val="left" w:pos="426"/>
        </w:tabs>
        <w:spacing w:line="240" w:lineRule="auto"/>
        <w:ind w:left="420" w:hanging="420"/>
        <w:rPr>
          <w:rFonts w:ascii="Arial" w:hAnsi="Arial" w:cs="Arial"/>
          <w:sz w:val="22"/>
          <w:szCs w:val="22"/>
        </w:rPr>
      </w:pPr>
      <w:r w:rsidRPr="00503670">
        <w:rPr>
          <w:rFonts w:ascii="Arial" w:hAnsi="Arial" w:cs="Arial"/>
          <w:sz w:val="22"/>
          <w:szCs w:val="22"/>
        </w:rPr>
        <w:t xml:space="preserve">e) </w:t>
      </w:r>
      <w:r w:rsidRPr="00503670">
        <w:rPr>
          <w:rFonts w:ascii="Arial" w:hAnsi="Arial" w:cs="Arial"/>
          <w:sz w:val="22"/>
          <w:szCs w:val="22"/>
        </w:rPr>
        <w:tab/>
      </w:r>
      <w:r w:rsidRPr="00503670">
        <w:rPr>
          <w:rFonts w:ascii="Arial" w:hAnsi="Arial" w:cs="Arial"/>
          <w:sz w:val="22"/>
          <w:szCs w:val="22"/>
        </w:rPr>
        <w:tab/>
        <w:t>Explain how the income of individuals</w:t>
      </w:r>
      <w:r>
        <w:rPr>
          <w:rFonts w:ascii="Arial" w:hAnsi="Arial" w:cs="Arial"/>
          <w:sz w:val="22"/>
          <w:szCs w:val="22"/>
        </w:rPr>
        <w:t xml:space="preserve"> and business household</w:t>
      </w:r>
      <w:r w:rsidRPr="00503670">
        <w:rPr>
          <w:rFonts w:ascii="Arial" w:hAnsi="Arial" w:cs="Arial"/>
          <w:sz w:val="22"/>
          <w:szCs w:val="22"/>
        </w:rPr>
        <w:t xml:space="preserve"> in the capacity of </w:t>
      </w:r>
      <w:r>
        <w:rPr>
          <w:rFonts w:ascii="Arial" w:hAnsi="Arial" w:cs="Arial"/>
          <w:sz w:val="22"/>
          <w:szCs w:val="22"/>
        </w:rPr>
        <w:t xml:space="preserve">freelancers, </w:t>
      </w:r>
      <w:r w:rsidRPr="00503670">
        <w:rPr>
          <w:rFonts w:ascii="Arial" w:hAnsi="Arial" w:cs="Arial"/>
          <w:sz w:val="22"/>
          <w:szCs w:val="22"/>
        </w:rPr>
        <w:t>producers, traders and service providers</w:t>
      </w:r>
      <w:r>
        <w:rPr>
          <w:rFonts w:ascii="Arial" w:hAnsi="Arial" w:cs="Arial"/>
          <w:sz w:val="22"/>
          <w:szCs w:val="22"/>
        </w:rPr>
        <w:t xml:space="preserve"> (including sharing economy participants)</w:t>
      </w:r>
      <w:r w:rsidRPr="00503670">
        <w:rPr>
          <w:rFonts w:ascii="Arial" w:hAnsi="Arial" w:cs="Arial"/>
          <w:sz w:val="22"/>
          <w:szCs w:val="22"/>
        </w:rPr>
        <w:t xml:space="preserve"> is determined.</w:t>
      </w:r>
      <w:r w:rsidRPr="00503670">
        <w:rPr>
          <w:rFonts w:ascii="Arial" w:hAnsi="Arial" w:cs="Arial"/>
          <w:sz w:val="22"/>
          <w:szCs w:val="22"/>
          <w:vertAlign w:val="superscript"/>
        </w:rPr>
        <w:t>[2]</w:t>
      </w:r>
    </w:p>
    <w:p w14:paraId="2637753C" w14:textId="77777777" w:rsidR="003F0189" w:rsidRPr="00503670" w:rsidRDefault="003F0189" w:rsidP="003F0189">
      <w:pPr>
        <w:pStyle w:val="Basetext"/>
        <w:spacing w:line="240" w:lineRule="auto"/>
        <w:rPr>
          <w:rFonts w:ascii="Arial" w:hAnsi="Arial" w:cs="Arial"/>
          <w:i/>
          <w:iCs/>
          <w:sz w:val="22"/>
          <w:szCs w:val="22"/>
          <w:u w:val="single"/>
        </w:rPr>
      </w:pPr>
    </w:p>
    <w:p w14:paraId="38993BB7" w14:textId="77777777" w:rsidR="003F0189" w:rsidRPr="00503670" w:rsidRDefault="003F0189" w:rsidP="003F0189">
      <w:pPr>
        <w:pStyle w:val="Basetext"/>
        <w:tabs>
          <w:tab w:val="clear" w:pos="425"/>
          <w:tab w:val="left" w:pos="426"/>
        </w:tabs>
        <w:spacing w:line="240" w:lineRule="auto"/>
        <w:ind w:left="426" w:hanging="426"/>
        <w:rPr>
          <w:rFonts w:ascii="Arial" w:hAnsi="Arial" w:cs="Arial"/>
          <w:sz w:val="22"/>
          <w:szCs w:val="22"/>
        </w:rPr>
      </w:pPr>
      <w:r w:rsidRPr="00503670">
        <w:rPr>
          <w:rFonts w:ascii="Arial" w:hAnsi="Arial" w:cs="Arial"/>
          <w:sz w:val="22"/>
          <w:szCs w:val="22"/>
        </w:rPr>
        <w:t xml:space="preserve">f) </w:t>
      </w:r>
      <w:r w:rsidRPr="00503670">
        <w:rPr>
          <w:rFonts w:ascii="Arial" w:hAnsi="Arial" w:cs="Arial"/>
          <w:sz w:val="22"/>
          <w:szCs w:val="22"/>
        </w:rPr>
        <w:tab/>
        <w:t>Explain the treatment of business income, salary income, income from capital investments, income from capital transfers, income from real property transfers, income from winnings or prizes, royalty income, income from franchises, income from inheritances, income from receipt of a gift and other income.</w:t>
      </w:r>
      <w:r w:rsidRPr="00503670">
        <w:rPr>
          <w:rFonts w:ascii="Arial" w:hAnsi="Arial" w:cs="Arial"/>
          <w:sz w:val="22"/>
          <w:szCs w:val="22"/>
          <w:vertAlign w:val="superscript"/>
        </w:rPr>
        <w:t>[2]</w:t>
      </w:r>
    </w:p>
    <w:p w14:paraId="6994A8CE" w14:textId="77777777" w:rsidR="003F0189" w:rsidRPr="00503670" w:rsidRDefault="003F0189" w:rsidP="003F0189">
      <w:pPr>
        <w:pStyle w:val="Basetext"/>
        <w:spacing w:line="240" w:lineRule="auto"/>
        <w:rPr>
          <w:rFonts w:ascii="Arial" w:hAnsi="Arial" w:cs="Arial"/>
          <w:sz w:val="22"/>
          <w:szCs w:val="22"/>
        </w:rPr>
      </w:pPr>
    </w:p>
    <w:p w14:paraId="071CD210" w14:textId="77777777" w:rsidR="003F0189" w:rsidRPr="00503670" w:rsidRDefault="003F0189" w:rsidP="003F0189">
      <w:pPr>
        <w:pStyle w:val="Basetext"/>
        <w:spacing w:line="240" w:lineRule="auto"/>
        <w:rPr>
          <w:rFonts w:ascii="Arial" w:hAnsi="Arial" w:cs="Arial"/>
          <w:b/>
          <w:bCs/>
          <w:sz w:val="22"/>
          <w:szCs w:val="22"/>
        </w:rPr>
      </w:pPr>
      <w:r w:rsidRPr="00503670">
        <w:rPr>
          <w:rFonts w:ascii="Arial" w:hAnsi="Arial" w:cs="Arial"/>
          <w:b/>
          <w:bCs/>
          <w:sz w:val="22"/>
          <w:szCs w:val="22"/>
        </w:rPr>
        <w:t>Excluded topics</w:t>
      </w:r>
    </w:p>
    <w:p w14:paraId="77B36083" w14:textId="77777777" w:rsidR="003F0189" w:rsidRPr="00503670" w:rsidRDefault="003F0189" w:rsidP="003F0189">
      <w:pPr>
        <w:pStyle w:val="Basetext"/>
        <w:spacing w:line="240" w:lineRule="auto"/>
        <w:rPr>
          <w:rFonts w:ascii="Arial" w:hAnsi="Arial" w:cs="Arial"/>
          <w:b/>
          <w:bCs/>
          <w:sz w:val="22"/>
          <w:szCs w:val="22"/>
        </w:rPr>
      </w:pPr>
    </w:p>
    <w:p w14:paraId="378A8457" w14:textId="77777777" w:rsidR="003F0189" w:rsidRPr="00503670" w:rsidRDefault="003F0189" w:rsidP="003F0189">
      <w:pPr>
        <w:pStyle w:val="Basetext"/>
        <w:numPr>
          <w:ilvl w:val="0"/>
          <w:numId w:val="2"/>
        </w:numPr>
        <w:spacing w:line="240" w:lineRule="auto"/>
        <w:rPr>
          <w:rFonts w:ascii="Arial" w:hAnsi="Arial" w:cs="Arial"/>
          <w:i/>
          <w:iCs/>
          <w:sz w:val="22"/>
          <w:szCs w:val="22"/>
        </w:rPr>
      </w:pPr>
      <w:r w:rsidRPr="00503670">
        <w:rPr>
          <w:rFonts w:ascii="Arial" w:hAnsi="Arial" w:cs="Arial"/>
          <w:i/>
          <w:iCs/>
          <w:sz w:val="22"/>
          <w:szCs w:val="22"/>
        </w:rPr>
        <w:t>Agricultural income of small scale producers</w:t>
      </w:r>
    </w:p>
    <w:p w14:paraId="5803D618" w14:textId="77777777" w:rsidR="003F0189" w:rsidRPr="00503670" w:rsidRDefault="003F0189" w:rsidP="003F0189">
      <w:pPr>
        <w:pStyle w:val="Basetext"/>
        <w:spacing w:line="240" w:lineRule="auto"/>
        <w:ind w:left="360"/>
        <w:rPr>
          <w:rFonts w:ascii="Arial" w:hAnsi="Arial" w:cs="Arial"/>
          <w:b/>
          <w:bCs/>
          <w:sz w:val="22"/>
          <w:szCs w:val="22"/>
        </w:rPr>
      </w:pPr>
    </w:p>
    <w:p w14:paraId="2639446A" w14:textId="77777777" w:rsidR="003F0189" w:rsidRPr="00503670" w:rsidRDefault="003F0189" w:rsidP="003F0189">
      <w:pPr>
        <w:pStyle w:val="Basetext"/>
        <w:spacing w:line="240" w:lineRule="auto"/>
        <w:ind w:left="284" w:hanging="284"/>
        <w:rPr>
          <w:rFonts w:ascii="Arial" w:hAnsi="Arial" w:cs="Arial"/>
          <w:b/>
          <w:bCs/>
          <w:sz w:val="22"/>
          <w:szCs w:val="22"/>
        </w:rPr>
      </w:pPr>
      <w:r w:rsidRPr="00503670">
        <w:rPr>
          <w:rFonts w:ascii="Arial" w:hAnsi="Arial" w:cs="Arial"/>
          <w:b/>
          <w:bCs/>
          <w:sz w:val="22"/>
          <w:szCs w:val="22"/>
        </w:rPr>
        <w:t xml:space="preserve">3. </w:t>
      </w:r>
      <w:r w:rsidRPr="00503670">
        <w:rPr>
          <w:rFonts w:ascii="Arial" w:hAnsi="Arial" w:cs="Arial"/>
          <w:b/>
          <w:bCs/>
          <w:sz w:val="22"/>
          <w:szCs w:val="22"/>
        </w:rPr>
        <w:tab/>
      </w:r>
      <w:r w:rsidRPr="00503670">
        <w:rPr>
          <w:rFonts w:ascii="Arial" w:hAnsi="Arial" w:cs="Arial"/>
          <w:b/>
          <w:bCs/>
          <w:sz w:val="22"/>
          <w:szCs w:val="22"/>
        </w:rPr>
        <w:tab/>
        <w:t xml:space="preserve">The comprehensive computation </w:t>
      </w:r>
      <w:r w:rsidRPr="00503670">
        <w:rPr>
          <w:rFonts w:ascii="Arial" w:hAnsi="Arial" w:cs="Arial"/>
          <w:b/>
          <w:bCs/>
          <w:sz w:val="22"/>
          <w:szCs w:val="22"/>
        </w:rPr>
        <w:tab/>
        <w:t xml:space="preserve">of monthly and annual taxable </w:t>
      </w:r>
      <w:r w:rsidRPr="00503670">
        <w:rPr>
          <w:rFonts w:ascii="Arial" w:hAnsi="Arial" w:cs="Arial"/>
          <w:b/>
          <w:bCs/>
          <w:sz w:val="22"/>
          <w:szCs w:val="22"/>
        </w:rPr>
        <w:tab/>
        <w:t>income and tax liabilities</w:t>
      </w:r>
    </w:p>
    <w:p w14:paraId="7E026D59" w14:textId="77777777" w:rsidR="003F0189" w:rsidRPr="00503670" w:rsidRDefault="003F0189" w:rsidP="003F0189">
      <w:pPr>
        <w:pStyle w:val="Basetext"/>
        <w:spacing w:line="240" w:lineRule="auto"/>
        <w:ind w:left="284" w:hanging="284"/>
        <w:rPr>
          <w:rFonts w:ascii="Arial" w:hAnsi="Arial" w:cs="Arial"/>
          <w:b/>
          <w:bCs/>
          <w:sz w:val="22"/>
          <w:szCs w:val="22"/>
        </w:rPr>
      </w:pPr>
    </w:p>
    <w:p w14:paraId="3E29DD2D" w14:textId="77777777" w:rsidR="003F0189" w:rsidRPr="00503670" w:rsidRDefault="003F0189" w:rsidP="003F0189">
      <w:pPr>
        <w:pStyle w:val="Basetext"/>
        <w:spacing w:line="240" w:lineRule="auto"/>
        <w:ind w:left="426" w:hanging="426"/>
        <w:rPr>
          <w:rFonts w:ascii="Arial" w:hAnsi="Arial" w:cs="Arial"/>
          <w:sz w:val="22"/>
          <w:szCs w:val="22"/>
        </w:rPr>
      </w:pPr>
      <w:r w:rsidRPr="00503670">
        <w:rPr>
          <w:rFonts w:ascii="Arial" w:hAnsi="Arial" w:cs="Arial"/>
          <w:sz w:val="22"/>
          <w:szCs w:val="22"/>
        </w:rPr>
        <w:t xml:space="preserve">a) </w:t>
      </w:r>
      <w:r w:rsidRPr="00503670">
        <w:rPr>
          <w:rFonts w:ascii="Arial" w:hAnsi="Arial" w:cs="Arial"/>
          <w:sz w:val="22"/>
          <w:szCs w:val="22"/>
        </w:rPr>
        <w:tab/>
        <w:t>Compute business and salary income, including the assessment of employment benefits in kind.</w:t>
      </w:r>
      <w:r w:rsidRPr="00503670">
        <w:rPr>
          <w:rFonts w:ascii="Arial" w:hAnsi="Arial" w:cs="Arial"/>
          <w:sz w:val="22"/>
          <w:szCs w:val="22"/>
          <w:vertAlign w:val="superscript"/>
        </w:rPr>
        <w:t>[2]</w:t>
      </w:r>
    </w:p>
    <w:p w14:paraId="6716EC46" w14:textId="77777777" w:rsidR="003F0189" w:rsidRPr="00503670" w:rsidRDefault="003F0189" w:rsidP="003F0189">
      <w:pPr>
        <w:pStyle w:val="Basetext"/>
        <w:spacing w:line="240" w:lineRule="auto"/>
        <w:rPr>
          <w:rFonts w:ascii="Arial" w:hAnsi="Arial" w:cs="Arial"/>
          <w:sz w:val="22"/>
          <w:szCs w:val="22"/>
        </w:rPr>
      </w:pPr>
    </w:p>
    <w:p w14:paraId="75732CF7" w14:textId="77777777" w:rsidR="003F0189" w:rsidRPr="00503670" w:rsidRDefault="003F0189" w:rsidP="003F0189">
      <w:pPr>
        <w:pStyle w:val="Basetext"/>
        <w:spacing w:line="240" w:lineRule="auto"/>
        <w:ind w:left="420" w:hanging="420"/>
        <w:rPr>
          <w:rFonts w:ascii="Arial" w:hAnsi="Arial" w:cs="Arial"/>
          <w:sz w:val="22"/>
          <w:szCs w:val="22"/>
        </w:rPr>
      </w:pPr>
      <w:r w:rsidRPr="00503670">
        <w:rPr>
          <w:rFonts w:ascii="Arial" w:hAnsi="Arial" w:cs="Arial"/>
          <w:sz w:val="22"/>
          <w:szCs w:val="22"/>
        </w:rPr>
        <w:t xml:space="preserve">b) </w:t>
      </w:r>
      <w:r w:rsidRPr="00503670">
        <w:rPr>
          <w:rFonts w:ascii="Arial" w:hAnsi="Arial" w:cs="Arial"/>
          <w:sz w:val="22"/>
          <w:szCs w:val="22"/>
        </w:rPr>
        <w:tab/>
      </w:r>
      <w:r w:rsidRPr="00503670">
        <w:rPr>
          <w:rFonts w:ascii="Arial" w:hAnsi="Arial" w:cs="Arial"/>
          <w:sz w:val="22"/>
          <w:szCs w:val="22"/>
        </w:rPr>
        <w:tab/>
        <w:t>Compute other taxable income and distinguish its treatment from that of business and salary income.</w:t>
      </w:r>
      <w:r w:rsidRPr="00503670">
        <w:rPr>
          <w:rFonts w:ascii="Arial" w:hAnsi="Arial" w:cs="Arial"/>
          <w:sz w:val="22"/>
          <w:szCs w:val="22"/>
          <w:vertAlign w:val="superscript"/>
        </w:rPr>
        <w:t>[2]</w:t>
      </w:r>
    </w:p>
    <w:p w14:paraId="5E910361" w14:textId="77777777" w:rsidR="003F0189" w:rsidRPr="00503670" w:rsidRDefault="003F0189" w:rsidP="003F0189">
      <w:pPr>
        <w:pStyle w:val="Basetext"/>
        <w:spacing w:line="240" w:lineRule="auto"/>
        <w:rPr>
          <w:rFonts w:ascii="Arial" w:hAnsi="Arial" w:cs="Arial"/>
          <w:sz w:val="22"/>
          <w:szCs w:val="22"/>
        </w:rPr>
      </w:pPr>
    </w:p>
    <w:p w14:paraId="7C3B7F9E" w14:textId="77777777" w:rsidR="003F0189" w:rsidRPr="00503670" w:rsidRDefault="003F0189" w:rsidP="003F0189">
      <w:pPr>
        <w:pStyle w:val="Basetext"/>
        <w:spacing w:line="240" w:lineRule="auto"/>
        <w:ind w:left="420" w:hanging="420"/>
        <w:rPr>
          <w:rFonts w:ascii="Arial" w:hAnsi="Arial" w:cs="Arial"/>
          <w:sz w:val="22"/>
          <w:szCs w:val="22"/>
          <w:vertAlign w:val="superscript"/>
        </w:rPr>
      </w:pPr>
      <w:r w:rsidRPr="00503670">
        <w:rPr>
          <w:rFonts w:ascii="Arial" w:hAnsi="Arial" w:cs="Arial"/>
          <w:sz w:val="22"/>
          <w:szCs w:val="22"/>
        </w:rPr>
        <w:lastRenderedPageBreak/>
        <w:t xml:space="preserve">c) </w:t>
      </w:r>
      <w:r w:rsidRPr="00503670">
        <w:rPr>
          <w:rFonts w:ascii="Arial" w:hAnsi="Arial" w:cs="Arial"/>
          <w:sz w:val="22"/>
          <w:szCs w:val="22"/>
        </w:rPr>
        <w:tab/>
      </w:r>
      <w:r w:rsidRPr="00503670">
        <w:rPr>
          <w:rFonts w:ascii="Arial" w:hAnsi="Arial" w:cs="Arial"/>
          <w:sz w:val="22"/>
          <w:szCs w:val="22"/>
        </w:rPr>
        <w:tab/>
        <w:t xml:space="preserve">State the expenses and apply the </w:t>
      </w:r>
      <w:r w:rsidRPr="00503670">
        <w:rPr>
          <w:rFonts w:ascii="Arial" w:hAnsi="Arial" w:cs="Arial"/>
          <w:sz w:val="22"/>
          <w:szCs w:val="22"/>
        </w:rPr>
        <w:tab/>
        <w:t xml:space="preserve">deductions (if any) that can be used </w:t>
      </w:r>
      <w:r w:rsidRPr="00503670">
        <w:rPr>
          <w:rFonts w:ascii="Arial" w:hAnsi="Arial" w:cs="Arial"/>
          <w:sz w:val="22"/>
          <w:szCs w:val="22"/>
        </w:rPr>
        <w:tab/>
        <w:t>to reduce taxable income.</w:t>
      </w:r>
      <w:r w:rsidRPr="00503670">
        <w:rPr>
          <w:rFonts w:ascii="Arial" w:hAnsi="Arial" w:cs="Arial"/>
          <w:sz w:val="22"/>
          <w:szCs w:val="22"/>
          <w:vertAlign w:val="superscript"/>
        </w:rPr>
        <w:t>[2]</w:t>
      </w:r>
    </w:p>
    <w:p w14:paraId="119BD95F" w14:textId="77777777" w:rsidR="003F0189" w:rsidRPr="00503670" w:rsidRDefault="003F0189" w:rsidP="003F0189">
      <w:pPr>
        <w:pStyle w:val="Basetext"/>
        <w:spacing w:line="240" w:lineRule="auto"/>
        <w:ind w:left="420" w:hanging="420"/>
        <w:rPr>
          <w:rFonts w:ascii="Arial" w:hAnsi="Arial" w:cs="Arial"/>
          <w:sz w:val="22"/>
          <w:szCs w:val="22"/>
        </w:rPr>
      </w:pPr>
    </w:p>
    <w:p w14:paraId="22EEC67D" w14:textId="77777777" w:rsidR="003F0189" w:rsidRPr="00503670" w:rsidRDefault="003F0189" w:rsidP="003F0189">
      <w:pPr>
        <w:pStyle w:val="Basetext"/>
        <w:spacing w:line="240" w:lineRule="auto"/>
        <w:ind w:left="420" w:hanging="420"/>
        <w:rPr>
          <w:rFonts w:ascii="Arial" w:hAnsi="Arial" w:cs="Arial"/>
          <w:sz w:val="22"/>
          <w:szCs w:val="22"/>
        </w:rPr>
      </w:pPr>
      <w:r w:rsidRPr="00503670">
        <w:rPr>
          <w:rFonts w:ascii="Arial" w:hAnsi="Arial" w:cs="Arial"/>
          <w:sz w:val="22"/>
          <w:szCs w:val="22"/>
        </w:rPr>
        <w:t xml:space="preserve">d) </w:t>
      </w:r>
      <w:r w:rsidRPr="00503670">
        <w:rPr>
          <w:rFonts w:ascii="Arial" w:hAnsi="Arial" w:cs="Arial"/>
          <w:sz w:val="22"/>
          <w:szCs w:val="22"/>
        </w:rPr>
        <w:tab/>
      </w:r>
      <w:r w:rsidRPr="00503670">
        <w:rPr>
          <w:rFonts w:ascii="Arial" w:hAnsi="Arial" w:cs="Arial"/>
          <w:sz w:val="22"/>
          <w:szCs w:val="22"/>
        </w:rPr>
        <w:tab/>
        <w:t>Recognise the individual income of non-residents subject to personal income tax and compute the tax to be withheld.</w:t>
      </w:r>
      <w:r w:rsidRPr="00503670">
        <w:rPr>
          <w:rFonts w:ascii="Arial" w:hAnsi="Arial" w:cs="Arial"/>
          <w:sz w:val="22"/>
          <w:szCs w:val="22"/>
          <w:vertAlign w:val="superscript"/>
        </w:rPr>
        <w:t>[2]</w:t>
      </w:r>
    </w:p>
    <w:p w14:paraId="3D416CFF" w14:textId="77777777" w:rsidR="003F0189" w:rsidRPr="00503670" w:rsidRDefault="003F0189" w:rsidP="003F0189">
      <w:pPr>
        <w:pStyle w:val="Basetext"/>
        <w:spacing w:line="240" w:lineRule="auto"/>
        <w:rPr>
          <w:rFonts w:ascii="Arial" w:hAnsi="Arial" w:cs="Arial"/>
          <w:sz w:val="22"/>
          <w:szCs w:val="22"/>
        </w:rPr>
      </w:pPr>
    </w:p>
    <w:p w14:paraId="11FF4656" w14:textId="77777777" w:rsidR="003F0189" w:rsidRPr="00503670" w:rsidRDefault="003F0189" w:rsidP="003F0189">
      <w:pPr>
        <w:pStyle w:val="Basetext"/>
        <w:spacing w:line="240" w:lineRule="auto"/>
        <w:ind w:left="420" w:hanging="420"/>
        <w:rPr>
          <w:rFonts w:ascii="Arial" w:hAnsi="Arial" w:cs="Arial"/>
          <w:sz w:val="22"/>
          <w:szCs w:val="22"/>
        </w:rPr>
      </w:pPr>
      <w:r w:rsidRPr="00503670">
        <w:rPr>
          <w:rFonts w:ascii="Arial" w:hAnsi="Arial" w:cs="Arial"/>
          <w:sz w:val="22"/>
          <w:szCs w:val="22"/>
        </w:rPr>
        <w:t xml:space="preserve">e) </w:t>
      </w:r>
      <w:r w:rsidRPr="00503670">
        <w:rPr>
          <w:rFonts w:ascii="Arial" w:hAnsi="Arial" w:cs="Arial"/>
          <w:sz w:val="22"/>
          <w:szCs w:val="22"/>
        </w:rPr>
        <w:tab/>
        <w:t xml:space="preserve">Compute the monthly and annual </w:t>
      </w:r>
      <w:r w:rsidRPr="00503670">
        <w:rPr>
          <w:rFonts w:ascii="Arial" w:hAnsi="Arial" w:cs="Arial"/>
          <w:sz w:val="22"/>
          <w:szCs w:val="22"/>
        </w:rPr>
        <w:tab/>
        <w:t>tax liabilities of residents and non-</w:t>
      </w:r>
      <w:r w:rsidRPr="00503670">
        <w:rPr>
          <w:rFonts w:ascii="Arial" w:hAnsi="Arial" w:cs="Arial"/>
          <w:sz w:val="22"/>
          <w:szCs w:val="22"/>
        </w:rPr>
        <w:tab/>
        <w:t xml:space="preserve">residents with regard to: </w:t>
      </w:r>
    </w:p>
    <w:p w14:paraId="093A009A" w14:textId="77777777" w:rsidR="003F0189" w:rsidRPr="00503670" w:rsidRDefault="003F0189" w:rsidP="003F0189">
      <w:pPr>
        <w:pStyle w:val="Basetext"/>
        <w:numPr>
          <w:ilvl w:val="0"/>
          <w:numId w:val="3"/>
        </w:numPr>
        <w:spacing w:line="240" w:lineRule="auto"/>
        <w:rPr>
          <w:rFonts w:ascii="Arial" w:hAnsi="Arial" w:cs="Arial"/>
          <w:sz w:val="22"/>
          <w:szCs w:val="22"/>
        </w:rPr>
      </w:pPr>
      <w:r w:rsidRPr="00503670">
        <w:rPr>
          <w:rFonts w:ascii="Arial" w:hAnsi="Arial" w:cs="Arial"/>
          <w:sz w:val="22"/>
          <w:szCs w:val="22"/>
        </w:rPr>
        <w:t>all types of income whether sourced from Vietnam or overseas.</w:t>
      </w:r>
      <w:r w:rsidRPr="00503670">
        <w:rPr>
          <w:rFonts w:ascii="Arial" w:hAnsi="Arial" w:cs="Arial"/>
          <w:sz w:val="22"/>
          <w:szCs w:val="22"/>
          <w:vertAlign w:val="superscript"/>
        </w:rPr>
        <w:t>[2]</w:t>
      </w:r>
    </w:p>
    <w:p w14:paraId="1135BFA2" w14:textId="77777777" w:rsidR="003F0189" w:rsidRPr="00503670" w:rsidRDefault="003F0189" w:rsidP="003F0189">
      <w:pPr>
        <w:pStyle w:val="Basetext"/>
        <w:spacing w:line="240" w:lineRule="auto"/>
        <w:rPr>
          <w:rFonts w:ascii="Arial" w:hAnsi="Arial" w:cs="Arial"/>
          <w:sz w:val="22"/>
          <w:szCs w:val="22"/>
        </w:rPr>
      </w:pPr>
      <w:r w:rsidRPr="00503670">
        <w:rPr>
          <w:rFonts w:ascii="Arial" w:hAnsi="Arial" w:cs="Arial"/>
          <w:sz w:val="22"/>
          <w:szCs w:val="22"/>
        </w:rPr>
        <w:t xml:space="preserve"> </w:t>
      </w:r>
    </w:p>
    <w:p w14:paraId="5605595B" w14:textId="77777777" w:rsidR="003F0189" w:rsidRPr="00503670" w:rsidRDefault="003F0189" w:rsidP="003F0189">
      <w:pPr>
        <w:pStyle w:val="Basetext"/>
        <w:spacing w:line="240" w:lineRule="auto"/>
        <w:ind w:left="450" w:hanging="450"/>
        <w:rPr>
          <w:rFonts w:ascii="Arial" w:hAnsi="Arial" w:cs="Arial"/>
          <w:sz w:val="22"/>
          <w:szCs w:val="22"/>
        </w:rPr>
      </w:pPr>
      <w:r w:rsidRPr="00503670">
        <w:rPr>
          <w:rFonts w:ascii="Arial" w:hAnsi="Arial" w:cs="Arial"/>
          <w:sz w:val="22"/>
          <w:szCs w:val="22"/>
        </w:rPr>
        <w:t xml:space="preserve">f) </w:t>
      </w:r>
      <w:r w:rsidRPr="00503670">
        <w:rPr>
          <w:rFonts w:ascii="Arial" w:hAnsi="Arial" w:cs="Arial"/>
          <w:sz w:val="22"/>
          <w:szCs w:val="22"/>
        </w:rPr>
        <w:tab/>
        <w:t>Compute any available tax credit and double taxation relief in respect of foreign taxes and withholding taxes.</w:t>
      </w:r>
      <w:r w:rsidRPr="00503670">
        <w:rPr>
          <w:rFonts w:ascii="Arial" w:hAnsi="Arial" w:cs="Arial"/>
          <w:bCs/>
          <w:sz w:val="22"/>
          <w:szCs w:val="22"/>
          <w:vertAlign w:val="superscript"/>
        </w:rPr>
        <w:t>[2]</w:t>
      </w:r>
    </w:p>
    <w:p w14:paraId="2641D80B" w14:textId="77777777" w:rsidR="003F0189" w:rsidRPr="00503670" w:rsidRDefault="003F0189" w:rsidP="003F0189">
      <w:pPr>
        <w:pStyle w:val="Basetext"/>
        <w:spacing w:line="240" w:lineRule="auto"/>
        <w:rPr>
          <w:rFonts w:ascii="Arial" w:hAnsi="Arial" w:cs="Arial"/>
          <w:sz w:val="22"/>
          <w:szCs w:val="22"/>
        </w:rPr>
      </w:pPr>
    </w:p>
    <w:p w14:paraId="4709EB9F" w14:textId="77777777" w:rsidR="003F0189" w:rsidRPr="00503670" w:rsidRDefault="003F0189" w:rsidP="003F0189">
      <w:pPr>
        <w:pStyle w:val="Basetext"/>
        <w:spacing w:line="240" w:lineRule="auto"/>
        <w:ind w:left="420" w:hanging="420"/>
        <w:rPr>
          <w:rFonts w:ascii="Arial" w:hAnsi="Arial" w:cs="Arial"/>
          <w:b/>
          <w:bCs/>
          <w:sz w:val="22"/>
          <w:szCs w:val="22"/>
        </w:rPr>
      </w:pPr>
      <w:r w:rsidRPr="00503670">
        <w:rPr>
          <w:rFonts w:ascii="Arial" w:hAnsi="Arial" w:cs="Arial"/>
          <w:b/>
          <w:bCs/>
          <w:sz w:val="22"/>
          <w:szCs w:val="22"/>
        </w:rPr>
        <w:t xml:space="preserve">4. </w:t>
      </w:r>
      <w:r w:rsidRPr="00503670">
        <w:rPr>
          <w:rFonts w:ascii="Arial" w:hAnsi="Arial" w:cs="Arial"/>
          <w:b/>
          <w:bCs/>
          <w:sz w:val="22"/>
          <w:szCs w:val="22"/>
        </w:rPr>
        <w:tab/>
      </w:r>
      <w:r w:rsidRPr="00503670">
        <w:rPr>
          <w:rFonts w:ascii="Arial" w:hAnsi="Arial" w:cs="Arial"/>
          <w:b/>
          <w:bCs/>
          <w:sz w:val="22"/>
          <w:szCs w:val="22"/>
        </w:rPr>
        <w:tab/>
        <w:t>The use of exemptions and reliefs in deferring and minimising PIT liabilities</w:t>
      </w:r>
    </w:p>
    <w:p w14:paraId="62A1137E" w14:textId="77777777" w:rsidR="003F0189" w:rsidRPr="00503670" w:rsidRDefault="003F0189" w:rsidP="003F0189">
      <w:pPr>
        <w:pStyle w:val="Basetext"/>
        <w:spacing w:line="240" w:lineRule="auto"/>
        <w:rPr>
          <w:rFonts w:ascii="Arial" w:hAnsi="Arial" w:cs="Arial"/>
          <w:sz w:val="22"/>
          <w:szCs w:val="22"/>
        </w:rPr>
      </w:pPr>
    </w:p>
    <w:p w14:paraId="5875B5B8" w14:textId="77777777" w:rsidR="003F0189" w:rsidRPr="00503670" w:rsidRDefault="003F0189" w:rsidP="003F0189">
      <w:pPr>
        <w:pStyle w:val="Basetext"/>
        <w:spacing w:line="240" w:lineRule="auto"/>
        <w:ind w:left="420" w:hanging="420"/>
        <w:rPr>
          <w:rFonts w:ascii="Arial" w:hAnsi="Arial" w:cs="Arial"/>
          <w:b/>
          <w:bCs/>
          <w:sz w:val="22"/>
          <w:szCs w:val="22"/>
        </w:rPr>
      </w:pPr>
      <w:r w:rsidRPr="00503670">
        <w:rPr>
          <w:rFonts w:ascii="Arial" w:hAnsi="Arial" w:cs="Arial"/>
          <w:sz w:val="22"/>
          <w:szCs w:val="22"/>
        </w:rPr>
        <w:t xml:space="preserve">a) </w:t>
      </w:r>
      <w:r w:rsidRPr="00503670">
        <w:rPr>
          <w:rFonts w:ascii="Arial" w:hAnsi="Arial" w:cs="Arial"/>
          <w:sz w:val="22"/>
          <w:szCs w:val="22"/>
        </w:rPr>
        <w:tab/>
      </w:r>
      <w:r w:rsidRPr="00503670">
        <w:rPr>
          <w:rFonts w:ascii="Arial" w:hAnsi="Arial" w:cs="Arial"/>
          <w:sz w:val="22"/>
          <w:szCs w:val="22"/>
        </w:rPr>
        <w:tab/>
        <w:t>Identify, compute and apply the right reduction/relief in given</w:t>
      </w:r>
      <w:r w:rsidRPr="00503670" w:rsidDel="00A54F86">
        <w:rPr>
          <w:rFonts w:ascii="Arial" w:hAnsi="Arial" w:cs="Arial"/>
          <w:sz w:val="22"/>
          <w:szCs w:val="22"/>
        </w:rPr>
        <w:t xml:space="preserve"> </w:t>
      </w:r>
      <w:r w:rsidRPr="00503670">
        <w:rPr>
          <w:rFonts w:ascii="Arial" w:hAnsi="Arial" w:cs="Arial"/>
          <w:sz w:val="22"/>
          <w:szCs w:val="22"/>
        </w:rPr>
        <w:tab/>
        <w:t>circumstances.</w:t>
      </w:r>
      <w:r w:rsidRPr="00503670">
        <w:rPr>
          <w:rFonts w:ascii="Arial" w:hAnsi="Arial" w:cs="Arial"/>
          <w:bCs/>
          <w:sz w:val="22"/>
          <w:szCs w:val="22"/>
          <w:vertAlign w:val="superscript"/>
        </w:rPr>
        <w:t>[2]</w:t>
      </w:r>
      <w:r w:rsidRPr="00503670">
        <w:rPr>
          <w:rFonts w:ascii="Arial" w:hAnsi="Arial" w:cs="Arial"/>
          <w:bCs/>
          <w:sz w:val="22"/>
          <w:szCs w:val="22"/>
        </w:rPr>
        <w:t xml:space="preserve"> </w:t>
      </w:r>
    </w:p>
    <w:p w14:paraId="36C931BB" w14:textId="77777777" w:rsidR="003F0189" w:rsidRPr="00503670" w:rsidRDefault="003F0189" w:rsidP="003F0189">
      <w:pPr>
        <w:pStyle w:val="Basetext"/>
        <w:spacing w:line="240" w:lineRule="auto"/>
        <w:rPr>
          <w:rFonts w:ascii="Arial" w:hAnsi="Arial" w:cs="Arial"/>
          <w:sz w:val="22"/>
          <w:szCs w:val="22"/>
        </w:rPr>
      </w:pPr>
    </w:p>
    <w:p w14:paraId="5F859D43" w14:textId="77777777" w:rsidR="003F0189" w:rsidRPr="00503670" w:rsidRDefault="003F0189" w:rsidP="003F0189">
      <w:pPr>
        <w:pStyle w:val="Basetext"/>
        <w:tabs>
          <w:tab w:val="clear" w:pos="425"/>
        </w:tabs>
        <w:spacing w:line="240" w:lineRule="auto"/>
        <w:ind w:left="450" w:hanging="450"/>
        <w:rPr>
          <w:rFonts w:ascii="Arial" w:hAnsi="Arial" w:cs="Arial"/>
          <w:sz w:val="22"/>
          <w:szCs w:val="22"/>
        </w:rPr>
      </w:pPr>
      <w:r w:rsidRPr="00503670">
        <w:rPr>
          <w:rFonts w:ascii="Arial" w:hAnsi="Arial" w:cs="Arial"/>
          <w:sz w:val="22"/>
          <w:szCs w:val="22"/>
        </w:rPr>
        <w:t xml:space="preserve">b) </w:t>
      </w:r>
      <w:r w:rsidRPr="00503670">
        <w:rPr>
          <w:rFonts w:ascii="Arial" w:hAnsi="Arial" w:cs="Arial"/>
          <w:sz w:val="22"/>
          <w:szCs w:val="22"/>
        </w:rPr>
        <w:tab/>
        <w:t>Explain how alternative structuring of all types of income can result in different amounts of taxable income and tax liability.</w:t>
      </w:r>
      <w:r w:rsidRPr="00503670">
        <w:rPr>
          <w:rFonts w:ascii="Arial" w:hAnsi="Arial" w:cs="Arial"/>
          <w:bCs/>
          <w:sz w:val="22"/>
          <w:szCs w:val="22"/>
          <w:vertAlign w:val="superscript"/>
        </w:rPr>
        <w:t>[2]</w:t>
      </w:r>
    </w:p>
    <w:p w14:paraId="23EEF460" w14:textId="77777777" w:rsidR="003F0189" w:rsidRPr="00503670" w:rsidRDefault="003F0189" w:rsidP="003F0189">
      <w:pPr>
        <w:pStyle w:val="Basetext"/>
        <w:spacing w:line="240" w:lineRule="auto"/>
        <w:rPr>
          <w:rFonts w:ascii="Arial" w:hAnsi="Arial" w:cs="Arial"/>
          <w:sz w:val="22"/>
          <w:szCs w:val="22"/>
        </w:rPr>
      </w:pPr>
    </w:p>
    <w:p w14:paraId="2121C2F8" w14:textId="77777777" w:rsidR="003F0189" w:rsidRPr="00503670" w:rsidRDefault="003F0189" w:rsidP="003F0189">
      <w:pPr>
        <w:pStyle w:val="Basetext"/>
        <w:spacing w:line="240" w:lineRule="auto"/>
        <w:rPr>
          <w:rFonts w:ascii="Arial" w:hAnsi="Arial" w:cs="Arial"/>
          <w:b/>
          <w:bCs/>
          <w:sz w:val="22"/>
          <w:szCs w:val="22"/>
        </w:rPr>
      </w:pPr>
      <w:r w:rsidRPr="00503670">
        <w:rPr>
          <w:rFonts w:ascii="Arial" w:hAnsi="Arial" w:cs="Arial"/>
          <w:b/>
          <w:bCs/>
          <w:sz w:val="22"/>
          <w:szCs w:val="22"/>
        </w:rPr>
        <w:t>Excluded topics</w:t>
      </w:r>
    </w:p>
    <w:p w14:paraId="2741717F" w14:textId="77777777" w:rsidR="003F0189" w:rsidRPr="00503670" w:rsidRDefault="003F0189" w:rsidP="003F0189">
      <w:pPr>
        <w:pStyle w:val="Basetext"/>
        <w:spacing w:line="240" w:lineRule="auto"/>
        <w:rPr>
          <w:rFonts w:ascii="Arial" w:hAnsi="Arial" w:cs="Arial"/>
          <w:b/>
          <w:bCs/>
          <w:sz w:val="22"/>
          <w:szCs w:val="22"/>
        </w:rPr>
      </w:pPr>
    </w:p>
    <w:p w14:paraId="14ABE0F8" w14:textId="77777777" w:rsidR="003F0189" w:rsidRPr="000342BB" w:rsidRDefault="003F0189" w:rsidP="003F0189">
      <w:pPr>
        <w:pStyle w:val="Basetext"/>
        <w:numPr>
          <w:ilvl w:val="0"/>
          <w:numId w:val="1"/>
        </w:numPr>
        <w:spacing w:line="240" w:lineRule="auto"/>
        <w:rPr>
          <w:rFonts w:ascii="Arial" w:hAnsi="Arial" w:cs="Arial"/>
          <w:b/>
          <w:sz w:val="22"/>
          <w:szCs w:val="22"/>
        </w:rPr>
      </w:pPr>
      <w:r w:rsidRPr="00503670">
        <w:rPr>
          <w:rFonts w:ascii="Arial" w:hAnsi="Arial" w:cs="Arial"/>
          <w:i/>
          <w:iCs/>
          <w:sz w:val="22"/>
          <w:szCs w:val="22"/>
        </w:rPr>
        <w:t xml:space="preserve">Detailed provisions of individual tax treaties </w:t>
      </w:r>
    </w:p>
    <w:p w14:paraId="7B3416AA" w14:textId="77777777" w:rsidR="005333AD" w:rsidRDefault="005333AD"/>
    <w:p w14:paraId="0AB1A50F" w14:textId="77777777" w:rsidR="003F0189" w:rsidRDefault="003F0189"/>
    <w:sectPr w:rsidR="003F01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ewsGoth BT">
    <w:altName w:val="Microsoft YaHei"/>
    <w:charset w:val="00"/>
    <w:family w:val="swiss"/>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B3B08"/>
    <w:multiLevelType w:val="hybridMultilevel"/>
    <w:tmpl w:val="A8F8E6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8BF1704"/>
    <w:multiLevelType w:val="hybridMultilevel"/>
    <w:tmpl w:val="592A1B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24226C5"/>
    <w:multiLevelType w:val="hybridMultilevel"/>
    <w:tmpl w:val="1AE4DDFC"/>
    <w:lvl w:ilvl="0" w:tplc="264C9336">
      <w:start w:val="1"/>
      <w:numFmt w:val="bullet"/>
      <w:lvlText w:val=""/>
      <w:lvlJc w:val="left"/>
      <w:pPr>
        <w:ind w:left="810" w:hanging="360"/>
      </w:pPr>
      <w:rPr>
        <w:rFonts w:ascii="Symbol" w:hAnsi="Symbol" w:hint="default"/>
      </w:rPr>
    </w:lvl>
    <w:lvl w:ilvl="1" w:tplc="264C9336">
      <w:start w:val="1"/>
      <w:numFmt w:val="bullet"/>
      <w:lvlText w:val=""/>
      <w:lvlJc w:val="left"/>
      <w:pPr>
        <w:ind w:left="1530" w:hanging="360"/>
      </w:pPr>
      <w:rPr>
        <w:rFonts w:ascii="Symbol" w:hAnsi="Symbol"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num w:numId="1" w16cid:durableId="205222097">
    <w:abstractNumId w:val="0"/>
  </w:num>
  <w:num w:numId="2" w16cid:durableId="1611936977">
    <w:abstractNumId w:val="1"/>
  </w:num>
  <w:num w:numId="3" w16cid:durableId="1040976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189"/>
    <w:rsid w:val="00155799"/>
    <w:rsid w:val="003F0189"/>
    <w:rsid w:val="005333AD"/>
    <w:rsid w:val="00A3461D"/>
    <w:rsid w:val="00C64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9B080"/>
  <w15:chartTrackingRefBased/>
  <w15:docId w15:val="{F16EE103-7556-42DF-8DB3-06EC9BC50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189"/>
    <w:pPr>
      <w:spacing w:after="0" w:line="240" w:lineRule="auto"/>
    </w:pPr>
    <w:rPr>
      <w:rFonts w:eastAsiaTheme="minorEastAsia"/>
      <w:kern w:val="0"/>
      <w:sz w:val="22"/>
      <w:szCs w:val="22"/>
      <w:lang w:val="en-GB"/>
      <w14:ligatures w14:val="none"/>
    </w:rPr>
  </w:style>
  <w:style w:type="paragraph" w:styleId="Heading1">
    <w:name w:val="heading 1"/>
    <w:basedOn w:val="Normal"/>
    <w:next w:val="Normal"/>
    <w:link w:val="Heading1Char"/>
    <w:uiPriority w:val="9"/>
    <w:qFormat/>
    <w:rsid w:val="003F01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01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01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01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01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01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1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1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1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1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01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01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01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01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01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1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1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189"/>
    <w:rPr>
      <w:rFonts w:eastAsiaTheme="majorEastAsia" w:cstheme="majorBidi"/>
      <w:color w:val="272727" w:themeColor="text1" w:themeTint="D8"/>
    </w:rPr>
  </w:style>
  <w:style w:type="paragraph" w:styleId="Title">
    <w:name w:val="Title"/>
    <w:basedOn w:val="Normal"/>
    <w:next w:val="Normal"/>
    <w:link w:val="TitleChar"/>
    <w:uiPriority w:val="10"/>
    <w:qFormat/>
    <w:rsid w:val="003F01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1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1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1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189"/>
    <w:pPr>
      <w:spacing w:before="160"/>
      <w:jc w:val="center"/>
    </w:pPr>
    <w:rPr>
      <w:i/>
      <w:iCs/>
      <w:color w:val="404040" w:themeColor="text1" w:themeTint="BF"/>
    </w:rPr>
  </w:style>
  <w:style w:type="character" w:customStyle="1" w:styleId="QuoteChar">
    <w:name w:val="Quote Char"/>
    <w:basedOn w:val="DefaultParagraphFont"/>
    <w:link w:val="Quote"/>
    <w:uiPriority w:val="29"/>
    <w:rsid w:val="003F0189"/>
    <w:rPr>
      <w:i/>
      <w:iCs/>
      <w:color w:val="404040" w:themeColor="text1" w:themeTint="BF"/>
    </w:rPr>
  </w:style>
  <w:style w:type="paragraph" w:styleId="ListParagraph">
    <w:name w:val="List Paragraph"/>
    <w:basedOn w:val="Normal"/>
    <w:uiPriority w:val="34"/>
    <w:qFormat/>
    <w:rsid w:val="003F0189"/>
    <w:pPr>
      <w:ind w:left="720"/>
      <w:contextualSpacing/>
    </w:pPr>
  </w:style>
  <w:style w:type="character" w:styleId="IntenseEmphasis">
    <w:name w:val="Intense Emphasis"/>
    <w:basedOn w:val="DefaultParagraphFont"/>
    <w:uiPriority w:val="21"/>
    <w:qFormat/>
    <w:rsid w:val="003F0189"/>
    <w:rPr>
      <w:i/>
      <w:iCs/>
      <w:color w:val="0F4761" w:themeColor="accent1" w:themeShade="BF"/>
    </w:rPr>
  </w:style>
  <w:style w:type="paragraph" w:styleId="IntenseQuote">
    <w:name w:val="Intense Quote"/>
    <w:basedOn w:val="Normal"/>
    <w:next w:val="Normal"/>
    <w:link w:val="IntenseQuoteChar"/>
    <w:uiPriority w:val="30"/>
    <w:qFormat/>
    <w:rsid w:val="003F01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0189"/>
    <w:rPr>
      <w:i/>
      <w:iCs/>
      <w:color w:val="0F4761" w:themeColor="accent1" w:themeShade="BF"/>
    </w:rPr>
  </w:style>
  <w:style w:type="character" w:styleId="IntenseReference">
    <w:name w:val="Intense Reference"/>
    <w:basedOn w:val="DefaultParagraphFont"/>
    <w:uiPriority w:val="32"/>
    <w:qFormat/>
    <w:rsid w:val="003F0189"/>
    <w:rPr>
      <w:b/>
      <w:bCs/>
      <w:smallCaps/>
      <w:color w:val="0F4761" w:themeColor="accent1" w:themeShade="BF"/>
      <w:spacing w:val="5"/>
    </w:rPr>
  </w:style>
  <w:style w:type="paragraph" w:customStyle="1" w:styleId="Basetext">
    <w:name w:val="Base text"/>
    <w:basedOn w:val="Normal"/>
    <w:link w:val="BasetextChar"/>
    <w:rsid w:val="003F0189"/>
    <w:pPr>
      <w:tabs>
        <w:tab w:val="left" w:pos="425"/>
      </w:tabs>
      <w:spacing w:line="260" w:lineRule="exact"/>
    </w:pPr>
    <w:rPr>
      <w:rFonts w:ascii="NewsGoth BT" w:eastAsia="Times New Roman" w:hAnsi="NewsGoth BT" w:cs="Times New Roman"/>
      <w:sz w:val="20"/>
      <w:szCs w:val="20"/>
      <w:lang w:eastAsia="en-GB"/>
    </w:rPr>
  </w:style>
  <w:style w:type="character" w:customStyle="1" w:styleId="BasetextChar">
    <w:name w:val="Base text Char"/>
    <w:link w:val="Basetext"/>
    <w:rsid w:val="003F0189"/>
    <w:rPr>
      <w:rFonts w:ascii="NewsGoth BT" w:eastAsia="Times New Roman" w:hAnsi="NewsGoth BT" w:cs="Times New Roman"/>
      <w:kern w:val="0"/>
      <w:sz w:val="20"/>
      <w:szCs w:val="20"/>
      <w:lang w:val="en-GB" w:eastAsia="en-GB"/>
      <w14:ligatures w14:val="none"/>
    </w:rPr>
  </w:style>
  <w:style w:type="paragraph" w:customStyle="1" w:styleId="AHeading">
    <w:name w:val="A. Heading"/>
    <w:basedOn w:val="Basetext"/>
    <w:link w:val="AHeadingChar"/>
    <w:uiPriority w:val="99"/>
    <w:rsid w:val="003F0189"/>
    <w:pPr>
      <w:ind w:left="426" w:hanging="426"/>
    </w:pPr>
    <w:rPr>
      <w:b/>
      <w:caps/>
    </w:rPr>
  </w:style>
  <w:style w:type="character" w:customStyle="1" w:styleId="AHeadingChar">
    <w:name w:val="A. Heading Char"/>
    <w:link w:val="AHeading"/>
    <w:uiPriority w:val="99"/>
    <w:rsid w:val="003F0189"/>
    <w:rPr>
      <w:rFonts w:ascii="NewsGoth BT" w:eastAsia="Times New Roman" w:hAnsi="NewsGoth BT" w:cs="Times New Roman"/>
      <w:b/>
      <w:caps/>
      <w:kern w:val="0"/>
      <w:sz w:val="20"/>
      <w:szCs w:val="20"/>
      <w:lang w:val="en-GB" w:eastAsia="en-GB"/>
      <w14:ligatures w14:val="none"/>
    </w:rPr>
  </w:style>
  <w:style w:type="character" w:customStyle="1" w:styleId="Superscript">
    <w:name w:val="Superscript"/>
    <w:rsid w:val="003F0189"/>
    <w:rPr>
      <w:rFonts w:ascii="NewsGoth BT" w:hAnsi="NewsGoth BT"/>
      <w:b/>
      <w:bCs/>
      <w:dstrike w:val="0"/>
      <w:color w:val="000000"/>
      <w:sz w:val="20"/>
      <w:szCs w:val="20"/>
      <w:u w:val="none"/>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412</Words>
  <Characters>2319</Characters>
  <Application>Microsoft Office Word</Application>
  <DocSecurity>0</DocSecurity>
  <Lines>74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Vu Hoang</dc:creator>
  <cp:keywords/>
  <dc:description/>
  <cp:lastModifiedBy>Phan Vu Hoang</cp:lastModifiedBy>
  <cp:revision>1</cp:revision>
  <dcterms:created xsi:type="dcterms:W3CDTF">2026-01-15T16:47:00Z</dcterms:created>
  <dcterms:modified xsi:type="dcterms:W3CDTF">2026-01-15T17:10:00Z</dcterms:modified>
</cp:coreProperties>
</file>