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b966f3d427d6f860e315be3f28abc262dcce5c1"/>
    <w:p>
      <w:pPr>
        <w:pStyle w:val="Heading1"/>
      </w:pPr>
      <w:r>
        <w:t xml:space="preserve">Acceptance Criteria for Key Features of ERP/IMS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 1.0</w:t>
      </w:r>
      <w:r>
        <w:br/>
      </w:r>
      <w:r>
        <w:rPr>
          <w:bCs/>
          <w:b/>
        </w:rPr>
        <w:t xml:space="preserve">Prepared By:</w:t>
      </w:r>
      <w:r>
        <w:t xml:space="preserve"> [Your Name]</w:t>
      </w:r>
      <w:r>
        <w:br/>
      </w:r>
      <w:r>
        <w:rPr>
          <w:bCs/>
          <w:b/>
        </w:rPr>
        <w:t xml:space="preserve">Date:</w:t>
      </w:r>
      <w:r>
        <w:t xml:space="preserve"> 28 September 2025</w:t>
      </w:r>
    </w:p>
    <w:p>
      <w:r>
        <w:pict>
          <v:rect style="width:0;height:1.5pt" o:hralign="center" o:hrstd="t" o:hr="t"/>
        </w:pict>
      </w:r>
    </w:p>
    <w:bookmarkStart w:id="20" w:name="purpose-and-scope"/>
    <w:p>
      <w:pPr>
        <w:pStyle w:val="Heading2"/>
      </w:pPr>
      <w:r>
        <w:t xml:space="preserve">1 Purpose and Scope</w:t>
      </w:r>
    </w:p>
    <w:p>
      <w:pPr>
        <w:pStyle w:val="FirstParagraph"/>
      </w:pPr>
      <w:r>
        <w:t xml:space="preserve">This document defines the acceptance criteria for the key features of PineCone Pro Supplies’ ERP/Inventory Management System (ERP/IMS). Acceptance criteria specify the conditions that must be met for a feature to be considered complete and ready for deployment. They are clear, testable statements based on the requirements captured in the product specification【719911587995344†L135-L145】【719911587995344†L172-L181】. These criteria apply to the Minimum Viable Product (MVP) scope and the Phase 2 enhancements.</w:t>
      </w:r>
    </w:p>
    <w:bookmarkEnd w:id="20"/>
    <w:bookmarkStart w:id="21" w:name="approach-to-acceptance-criteria"/>
    <w:p>
      <w:pPr>
        <w:pStyle w:val="Heading2"/>
      </w:pPr>
      <w:r>
        <w:t xml:space="preserve">2 Approach to Acceptance Criteria</w:t>
      </w:r>
    </w:p>
    <w:p>
      <w:pPr>
        <w:pStyle w:val="FirstParagraph"/>
      </w:pPr>
      <w:r>
        <w:t xml:space="preserve">Each feature’s acceptance criteria are derived from functional requirements and industry best practices. Criteria are written in the format</w:t>
      </w:r>
      <w:r>
        <w:t xml:space="preserve"> </w:t>
      </w:r>
      <w:r>
        <w:t xml:space="preserve">“</w:t>
      </w:r>
      <w:r>
        <w:t xml:space="preserve">Given/When/Then</w:t>
      </w:r>
      <w:r>
        <w:t xml:space="preserve">”</w:t>
      </w:r>
      <w:r>
        <w:t xml:space="preserve"> </w:t>
      </w:r>
      <w:r>
        <w:t xml:space="preserve">where appropriate and focus on measurable outcomes such as data integrity, performance, user interaction and integration completeness. Where quantitative targets exist (e.g., 98 % inventory accuracy), those values are included to enable objective testing【719911587995344†L172-L181】. The criteria ensure the system supports business objectives like eliminating oversells, meeting service‑level agreements (SLAs) and ensuring regulatory compliance【719911587995344†L207-L213】【719911587995344†L348-L352】.</w:t>
      </w:r>
    </w:p>
    <w:bookmarkEnd w:id="21"/>
    <w:bookmarkStart w:id="32" w:name="acceptance-criteria-by-feature"/>
    <w:p>
      <w:pPr>
        <w:pStyle w:val="Heading2"/>
      </w:pPr>
      <w:r>
        <w:t xml:space="preserve">3 Acceptance Criteria by Feature</w:t>
      </w:r>
    </w:p>
    <w:bookmarkStart w:id="22" w:name="product-information-management-pim"/>
    <w:p>
      <w:pPr>
        <w:pStyle w:val="Heading3"/>
      </w:pPr>
      <w:r>
        <w:t xml:space="preserve">3.1 Product Information Management (PIM)</w:t>
      </w:r>
    </w:p>
    <w:p>
      <w:pPr>
        <w:pStyle w:val="FirstParagraph"/>
      </w:pPr>
      <w:r>
        <w:t xml:space="preserve">The PIM module provides a single source of truth for SKU data across all channels【91221083353783†L4-L7】. Acceptance criteria ensure accuracy, consistency and timely propagation of product information: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Unique and complete records:</w:t>
      </w:r>
      <w:r>
        <w:t xml:space="preserve"> </w:t>
      </w:r>
      <w:r>
        <w:t xml:space="preserve">Each SKU must have a unique identifier and all required attributes (name, description, category, unit of measure, hazard class, expiry period, price)【719911587995344†L135-L144】. Validation errors occur if required fields are missing.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Hazardous and expiry data:</w:t>
      </w:r>
      <w:r>
        <w:t xml:space="preserve"> </w:t>
      </w:r>
      <w:r>
        <w:t xml:space="preserve">Hazard classifications and expiry periods must be recorded and exportable for compliance with shipping regulations【719911587995344†L135-L145】.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Kit and bundle support:</w:t>
      </w:r>
      <w:r>
        <w:t xml:space="preserve"> </w:t>
      </w:r>
      <w:r>
        <w:t xml:space="preserve">The system must allow creation and maintenance of kits/bundles with dynamic component quantities and versioned bills of material (BOM)【719911587995344†L141-L144】. When a kit BOM is updated, the change must take effect for new orders while maintaining historical BOMs for past orders.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conversions:</w:t>
      </w:r>
      <w:r>
        <w:t xml:space="preserve"> </w:t>
      </w:r>
      <w:r>
        <w:t xml:space="preserve">The system must automatically convert units (e.g., quart to gallon) during order processing and pricing【719911587995344†L143-L144】. Test by placing orders in different units and verifying correct conversion and pricing.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Channel synchronisation:</w:t>
      </w:r>
      <w:r>
        <w:t xml:space="preserve"> </w:t>
      </w:r>
      <w:r>
        <w:t xml:space="preserve">Product updates must be propagated to all sales channels (web store, Amazon, POS, B2B portal) within</w:t>
      </w:r>
      <w:r>
        <w:t xml:space="preserve"> </w:t>
      </w:r>
      <w:r>
        <w:rPr>
          <w:bCs/>
          <w:b/>
        </w:rPr>
        <w:t xml:space="preserve">15 minutes</w:t>
      </w:r>
      <w:r>
        <w:t xml:space="preserve">【719911587995344†L135-L145】. Test by modifying a product and verifying that changes appear across channels within the time window.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Audit trail and data governance:</w:t>
      </w:r>
      <w:r>
        <w:t xml:space="preserve"> </w:t>
      </w:r>
      <w:r>
        <w:t xml:space="preserve">All product modifications must be logged with user, timestamp and change details. Only authorised roles may create or edit products, as defined in the RBAC matrix.</w:t>
      </w:r>
    </w:p>
    <w:bookmarkEnd w:id="22"/>
    <w:bookmarkStart w:id="23" w:name="inventory-warehouse-management"/>
    <w:p>
      <w:pPr>
        <w:pStyle w:val="Heading3"/>
      </w:pPr>
      <w:r>
        <w:t xml:space="preserve">3.2 Inventory &amp; Warehouse Management</w:t>
      </w:r>
    </w:p>
    <w:p>
      <w:pPr>
        <w:pStyle w:val="FirstParagraph"/>
      </w:pPr>
      <w:r>
        <w:t xml:space="preserve">This module ensures real‑time inventory visibility and accurate stock levels across multiple locations【91221083353783†L9-L12】. Acceptance criteria focus on accuracy, timeliness and proper handling of lot/serial controls: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Inventory accuracy:</w:t>
      </w:r>
      <w:r>
        <w:t xml:space="preserve"> </w:t>
      </w:r>
      <w:r>
        <w:t xml:space="preserve">Cycle count variance must be</w:t>
      </w:r>
      <w:r>
        <w:t xml:space="preserve"> </w:t>
      </w:r>
      <w:r>
        <w:rPr>
          <w:bCs/>
          <w:b/>
        </w:rPr>
        <w:t xml:space="preserve">≤ 2 %</w:t>
      </w:r>
      <w:r>
        <w:t xml:space="preserve">, yielding overall inventory accuracy ≥ 98 %【719911587995344†L172-L175】. Cycle counts should detect and correct discrepancies automatically.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Timely updates:</w:t>
      </w:r>
      <w:r>
        <w:t xml:space="preserve"> </w:t>
      </w:r>
      <w:r>
        <w:t xml:space="preserve">Inventory transactions performed via RF scanning (receiving, put‑away, picking, cycle count, returns) must update inventory records within</w:t>
      </w:r>
      <w:r>
        <w:t xml:space="preserve"> </w:t>
      </w:r>
      <w:r>
        <w:rPr>
          <w:bCs/>
          <w:b/>
        </w:rPr>
        <w:t xml:space="preserve">1 minute</w:t>
      </w:r>
      <w:r>
        <w:t xml:space="preserve">【719911587995344†L174-L178】.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Lot and serial capture:</w:t>
      </w:r>
      <w:r>
        <w:t xml:space="preserve"> </w:t>
      </w:r>
      <w:r>
        <w:t xml:space="preserve">Lot numbers, manufacture dates and expiry dates must be recorded at receiving for regulated products; serial numbers must be captured for high‑value tools and available during picking and RMA【719911587995344†L176-L178】.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Cross‑dock/3PL feeds:</w:t>
      </w:r>
      <w:r>
        <w:t xml:space="preserve"> </w:t>
      </w:r>
      <w:r>
        <w:t xml:space="preserve">Transfers through cross‑dock facilities or third‑party logistics (3PL) providers must update inventory within</w:t>
      </w:r>
      <w:r>
        <w:t xml:space="preserve"> </w:t>
      </w:r>
      <w:r>
        <w:rPr>
          <w:bCs/>
          <w:b/>
        </w:rPr>
        <w:t xml:space="preserve">15 minutes</w:t>
      </w:r>
      <w:r>
        <w:t xml:space="preserve"> </w:t>
      </w:r>
      <w:r>
        <w:t xml:space="preserve">of receipt【719911587995344†L178-L179】.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ATP recalculation:</w:t>
      </w:r>
      <w:r>
        <w:t xml:space="preserve"> </w:t>
      </w:r>
      <w:r>
        <w:t xml:space="preserve">Available‑to‑promise (ATP) quantities must be recalculated upon order entry to reflect on‑hand, reserved and incoming stock【719911587995344†L180-L181】. Test by placing orders and verifying correct ATP values.</w:t>
      </w:r>
    </w:p>
    <w:bookmarkEnd w:id="23"/>
    <w:bookmarkStart w:id="24" w:name="order-management-paymentsfraud"/>
    <w:p>
      <w:pPr>
        <w:pStyle w:val="Heading3"/>
      </w:pPr>
      <w:r>
        <w:t xml:space="preserve">3.3 Order Management &amp; Payments/Fraud</w:t>
      </w:r>
    </w:p>
    <w:p>
      <w:pPr>
        <w:pStyle w:val="FirstParagraph"/>
      </w:pPr>
      <w:r>
        <w:t xml:space="preserve">Order management orchestrates sales across channels, processes payments and handles fraud screening【91221083353783†L14-L17】.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Unified order queue:</w:t>
      </w:r>
      <w:r>
        <w:t xml:space="preserve"> </w:t>
      </w:r>
      <w:r>
        <w:t xml:space="preserve">Orders from all channels (web, B2B portal, POS, Amazon) must appear in a single order queue【719911587995344†L205-L211】. Test by submitting orders from each channel and verifying central visibility.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Payment processing:</w:t>
      </w:r>
      <w:r>
        <w:t xml:space="preserve"> </w:t>
      </w:r>
      <w:r>
        <w:t xml:space="preserve">Payments must be authorised or captured at order entry and recorded in the accounting integration【719911587995344†L207-L210】. Failed payments must trigger appropriate error messages and statuses.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Fraud screening:</w:t>
      </w:r>
      <w:r>
        <w:t xml:space="preserve"> </w:t>
      </w:r>
      <w:r>
        <w:t xml:space="preserve">Fraud check results must be recorded; orders flagged by the fraud service require CSR or managerial approval before fulfilment【719911587995344†L208-L211】.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Fulfilment SLA:</w:t>
      </w:r>
      <w:r>
        <w:t xml:space="preserve"> </w:t>
      </w:r>
      <w:r>
        <w:rPr>
          <w:bCs/>
          <w:b/>
        </w:rPr>
        <w:t xml:space="preserve">95 %</w:t>
      </w:r>
      <w:r>
        <w:t xml:space="preserve"> </w:t>
      </w:r>
      <w:r>
        <w:t xml:space="preserve">of orders must be shipped within</w:t>
      </w:r>
      <w:r>
        <w:t xml:space="preserve"> </w:t>
      </w:r>
      <w:r>
        <w:rPr>
          <w:bCs/>
          <w:b/>
        </w:rPr>
        <w:t xml:space="preserve">24 hours</w:t>
      </w:r>
      <w:r>
        <w:t xml:space="preserve"> </w:t>
      </w:r>
      <w:r>
        <w:t xml:space="preserve">of receipt during business days【719911587995344†L207-L213】. Test by measuring processing times over a sample of orders.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Order modifications:</w:t>
      </w:r>
      <w:r>
        <w:t xml:space="preserve"> </w:t>
      </w:r>
      <w:r>
        <w:t xml:space="preserve">CSRs must be able to modify orders (address changes, item swaps, cancellations) prior to picking. Modifications must update pricing, taxes and availability accordingly【719911587995344†L212-L213】.</w:t>
      </w:r>
    </w:p>
    <w:bookmarkEnd w:id="24"/>
    <w:bookmarkStart w:id="25" w:name="purchasing-vendor-management"/>
    <w:p>
      <w:pPr>
        <w:pStyle w:val="Heading3"/>
      </w:pPr>
      <w:r>
        <w:t xml:space="preserve">3.4 Purchasing &amp; Vendor Management</w:t>
      </w:r>
    </w:p>
    <w:p>
      <w:pPr>
        <w:pStyle w:val="FirstParagraph"/>
      </w:pPr>
      <w:r>
        <w:t xml:space="preserve">This module automates procurement and monitors vendor performance【91221083353783†L19-L23】.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Reorder configuration:</w:t>
      </w:r>
      <w:r>
        <w:t xml:space="preserve"> </w:t>
      </w:r>
      <w:r>
        <w:t xml:space="preserve">Reorder points and EOQ must be defined for all stocked SKUs. When on‑hand plus on‑order quantity drops below reorder point, the system generates a draft purchase order (PO)【719911587995344†L240-L241】.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Approval workflows:</w:t>
      </w:r>
      <w:r>
        <w:t xml:space="preserve"> </w:t>
      </w:r>
      <w:r>
        <w:t xml:space="preserve">Purchase orders exceeding defined monetary thresholds must require approval. Approvals and rejections must be logged with user and timestamp【719911587995344†L241-L243】.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ASN matching:</w:t>
      </w:r>
      <w:r>
        <w:t xml:space="preserve"> </w:t>
      </w:r>
      <w:r>
        <w:t xml:space="preserve">Received quantities must be matched against supplier Advance Shipping Notices (ASNs); variances must trigger discrepancy reports【719911587995344†L242-L244】.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Vendor scorecards:</w:t>
      </w:r>
      <w:r>
        <w:t xml:space="preserve"> </w:t>
      </w:r>
      <w:r>
        <w:t xml:space="preserve">Delivery performance metrics (on‑time, complete, quality) must be updated with every receipt and available for reporting【719911587995344†L244-L245】.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Drop‑ship accuracy:</w:t>
      </w:r>
      <w:r>
        <w:t xml:space="preserve"> </w:t>
      </w:r>
      <w:r>
        <w:t xml:space="preserve">For drop‑ship orders, vendor shipments must update cost, revenue and inventory records within</w:t>
      </w:r>
      <w:r>
        <w:t xml:space="preserve"> </w:t>
      </w:r>
      <w:r>
        <w:rPr>
          <w:bCs/>
          <w:b/>
        </w:rPr>
        <w:t xml:space="preserve">24 hours</w:t>
      </w:r>
      <w:r>
        <w:t xml:space="preserve">.</w:t>
      </w:r>
    </w:p>
    <w:bookmarkEnd w:id="25"/>
    <w:bookmarkStart w:id="26" w:name="lotexpiry-serial-tracking"/>
    <w:p>
      <w:pPr>
        <w:pStyle w:val="Heading3"/>
      </w:pPr>
      <w:r>
        <w:t xml:space="preserve">3.5 Lot/Expiry &amp; Serial Tracking</w:t>
      </w:r>
    </w:p>
    <w:p>
      <w:pPr>
        <w:pStyle w:val="FirstParagraph"/>
      </w:pPr>
      <w:r>
        <w:t xml:space="preserve">Lot and serial tracking enables compliance and recall management【91221083353783†L25-L27】.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Lot capture:</w:t>
      </w:r>
      <w:r>
        <w:t xml:space="preserve"> </w:t>
      </w:r>
      <w:r>
        <w:t xml:space="preserve">For each lot‑controlled item, the system must capture lot number, manufacture date and expiry date at receiving【719911587995344†L264-L266】. FIFO/FEFO rules must enforce proper picking sequence.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Serial capture:</w:t>
      </w:r>
      <w:r>
        <w:t xml:space="preserve"> </w:t>
      </w:r>
      <w:r>
        <w:t xml:space="preserve">Serial numbers must be recorded at receipt and shipment for high‑value tools; scanning ensures the correct serial is shipped【719911587995344†L266-L268】.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Recall reporting:</w:t>
      </w:r>
      <w:r>
        <w:t xml:space="preserve"> </w:t>
      </w:r>
      <w:r>
        <w:t xml:space="preserve">The system must generate a recall report within</w:t>
      </w:r>
      <w:r>
        <w:t xml:space="preserve"> </w:t>
      </w:r>
      <w:r>
        <w:rPr>
          <w:bCs/>
          <w:b/>
        </w:rPr>
        <w:t xml:space="preserve">30 minutes</w:t>
      </w:r>
      <w:r>
        <w:t xml:space="preserve"> </w:t>
      </w:r>
      <w:r>
        <w:t xml:space="preserve">identifying all shipments and customers associated with a specified lot or serial number【719911587995344†L269-L270】. Test by creating a lot and verifying recall results.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Warranty integration:</w:t>
      </w:r>
      <w:r>
        <w:t xml:space="preserve"> </w:t>
      </w:r>
      <w:r>
        <w:t xml:space="preserve">Serial numbers must link to warranty status and service history; warranty expirations must trigger notifications.</w:t>
      </w:r>
    </w:p>
    <w:bookmarkEnd w:id="26"/>
    <w:bookmarkStart w:id="27" w:name="shipping-rate-shopping"/>
    <w:p>
      <w:pPr>
        <w:pStyle w:val="Heading3"/>
      </w:pPr>
      <w:r>
        <w:t xml:space="preserve">3.6 Shipping &amp; Rate Shopping</w:t>
      </w:r>
    </w:p>
    <w:p>
      <w:pPr>
        <w:pStyle w:val="FirstParagraph"/>
      </w:pPr>
      <w:r>
        <w:t xml:space="preserve">Shipping functionality handles carrier integration, hazmat compliance and cost optimisation【91221083353783†L29-L31】.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Label &amp; document generation:</w:t>
      </w:r>
      <w:r>
        <w:t xml:space="preserve"> </w:t>
      </w:r>
      <w:r>
        <w:t xml:space="preserve">Shipping labels, packing slips and hazmat documents must be generated for all orders where applicable【719911587995344†L293-L297】. Hazmat paperwork must include required placards and classification codes.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Rate shopping:</w:t>
      </w:r>
      <w:r>
        <w:t xml:space="preserve"> </w:t>
      </w:r>
      <w:r>
        <w:t xml:space="preserve">The system must provide configurable options to choose the lowest cost or fastest service; selected rates must be logged for audit【719911587995344†L293-L297】.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3PL integration:</w:t>
      </w:r>
      <w:r>
        <w:t xml:space="preserve"> </w:t>
      </w:r>
      <w:r>
        <w:t xml:space="preserve">For shipments handled by 3PL providers, tracking information and inventory status must be updated within</w:t>
      </w:r>
      <w:r>
        <w:t xml:space="preserve"> </w:t>
      </w:r>
      <w:r>
        <w:rPr>
          <w:bCs/>
          <w:b/>
        </w:rPr>
        <w:t xml:space="preserve">30 minutes</w:t>
      </w:r>
      <w:r>
        <w:t xml:space="preserve">【719911587995344†L296-L299】.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Hazmat selection:</w:t>
      </w:r>
      <w:r>
        <w:t xml:space="preserve"> </w:t>
      </w:r>
      <w:r>
        <w:t xml:space="preserve">Carriers that do not support hazmat shipments must be filtered out automatically when the order contains hazardous items【719911587995344†L293-L297】.</w:t>
      </w:r>
    </w:p>
    <w:bookmarkEnd w:id="27"/>
    <w:bookmarkStart w:id="28" w:name="returnsrma-workflow"/>
    <w:p>
      <w:pPr>
        <w:pStyle w:val="Heading3"/>
      </w:pPr>
      <w:r>
        <w:t xml:space="preserve">3.7 Returns/RMA Workflow</w:t>
      </w:r>
    </w:p>
    <w:p>
      <w:pPr>
        <w:pStyle w:val="FirstParagraph"/>
      </w:pPr>
      <w:r>
        <w:t xml:space="preserve">Returns management standardises the process of handling returned goods and refunds【91221083353783†L32-L34】.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RMA initiation:</w:t>
      </w:r>
      <w:r>
        <w:t xml:space="preserve"> </w:t>
      </w:r>
      <w:r>
        <w:t xml:space="preserve">The system must generate a unique RMA number for every return request and send return instructions to the customer【719911587995344†L320-L325】.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Inspection recording:</w:t>
      </w:r>
      <w:r>
        <w:t xml:space="preserve"> </w:t>
      </w:r>
      <w:r>
        <w:t xml:space="preserve">Returned items must be inspected, and their condition, lot/serial numbers and reason codes recorded【719911587995344†L320-L325】.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Disposition handling:</w:t>
      </w:r>
      <w:r>
        <w:t xml:space="preserve"> </w:t>
      </w:r>
      <w:r>
        <w:t xml:space="preserve">Returned items must be processed according to disposition codes (restock, refurbish or scrap); inventory movements must reflect disposition【719911587995344†L322-L325】.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Refund processing:</w:t>
      </w:r>
      <w:r>
        <w:t xml:space="preserve"> </w:t>
      </w:r>
      <w:r>
        <w:t xml:space="preserve">Refunds or credits must be posted automatically in the accounting system and visible in the customer’s account【719911587995344†L325-L326】. Replacement orders must be linked to the original RMA.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Return reporting:</w:t>
      </w:r>
      <w:r>
        <w:t xml:space="preserve"> </w:t>
      </w:r>
      <w:r>
        <w:t xml:space="preserve">RMA volumes, reasons and dispositions must be reported and used to identify quality issues and reduce returns【719911587995344†L317-L318】.</w:t>
      </w:r>
    </w:p>
    <w:bookmarkEnd w:id="28"/>
    <w:bookmarkStart w:id="29" w:name="tax-calculation-reporting"/>
    <w:p>
      <w:pPr>
        <w:pStyle w:val="Heading3"/>
      </w:pPr>
      <w:r>
        <w:t xml:space="preserve">3.8 Tax Calculation &amp; Reporting</w:t>
      </w:r>
    </w:p>
    <w:p>
      <w:pPr>
        <w:pStyle w:val="FirstParagraph"/>
      </w:pPr>
      <w:r>
        <w:t xml:space="preserve">Tax functionality must ensure accurate tax assessment and compliance across jurisdictions【91221083353783†L36-L38】.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Accurate calculation:</w:t>
      </w:r>
      <w:r>
        <w:t xml:space="preserve"> </w:t>
      </w:r>
      <w:r>
        <w:t xml:space="preserve">Tax must be calculated correctly for each order based on shipping address and product taxability【719911587995344†L348-L352】. Test by placing orders with different tax jurisdictions and verifying calculations.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Multi‑state compliance:</w:t>
      </w:r>
      <w:r>
        <w:t xml:space="preserve"> </w:t>
      </w:r>
      <w:r>
        <w:t xml:space="preserve">The system must support nexus rules and tax registrations for each state; tax‑exempt customers must be handled via certificate management【719911587995344†L336-L340】.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Reporting:</w:t>
      </w:r>
      <w:r>
        <w:t xml:space="preserve"> </w:t>
      </w:r>
      <w:r>
        <w:t xml:space="preserve">Users must be able to generate tax reports showing tax collected per jurisdiction (city, county, state)【719911587995344†L348-L352】.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Hazmat documentation:</w:t>
      </w:r>
      <w:r>
        <w:t xml:space="preserve"> </w:t>
      </w:r>
      <w:r>
        <w:t xml:space="preserve">For hazardous shipments, required shipping papers must be included and flagged for compliance【719911587995344†L348-L352】.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Audit trail:</w:t>
      </w:r>
      <w:r>
        <w:t xml:space="preserve"> </w:t>
      </w:r>
      <w:r>
        <w:t xml:space="preserve">All tax calculations and filings must be logged for audit purposes; adjustments must be traceable.</w:t>
      </w:r>
    </w:p>
    <w:bookmarkEnd w:id="29"/>
    <w:bookmarkStart w:id="30" w:name="basic-accounting-integration"/>
    <w:p>
      <w:pPr>
        <w:pStyle w:val="Heading3"/>
      </w:pPr>
      <w:r>
        <w:t xml:space="preserve">3.9 Basic Accounting Integration</w:t>
      </w:r>
    </w:p>
    <w:p>
      <w:pPr>
        <w:pStyle w:val="FirstParagraph"/>
      </w:pPr>
      <w:r>
        <w:t xml:space="preserve">Accounting integration synchronises financial transactions and ensures accurate reporting【91221083353783†L40-L41】.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Journal entries:</w:t>
      </w:r>
      <w:r>
        <w:t xml:space="preserve"> </w:t>
      </w:r>
      <w:r>
        <w:t xml:space="preserve">Journal entries must be generated automatically for all sales invoices, purchase orders, returns, AP bills and inventory adjustments【719911587995344†L374-L375】. Each entry must map to the appropriate GL account.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AP/AR synchronisation:</w:t>
      </w:r>
      <w:r>
        <w:t xml:space="preserve"> </w:t>
      </w:r>
      <w:r>
        <w:t xml:space="preserve">Accounts payable and accounts receivable data must be synchronised daily without manual intervention【719911587995344†L374-L377】. Failed synchronisations must raise alerts.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Timely integration:</w:t>
      </w:r>
      <w:r>
        <w:t xml:space="preserve"> </w:t>
      </w:r>
      <w:r>
        <w:t xml:space="preserve">Sales orders and purchase orders must be reflected in the accounting system within</w:t>
      </w:r>
      <w:r>
        <w:t xml:space="preserve"> </w:t>
      </w:r>
      <w:r>
        <w:rPr>
          <w:bCs/>
          <w:b/>
        </w:rPr>
        <w:t xml:space="preserve">24 hours</w:t>
      </w:r>
      <w:r>
        <w:t xml:space="preserve">【719911587995344†L377-L378】.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Bank reconciliation:</w:t>
      </w:r>
      <w:r>
        <w:t xml:space="preserve"> </w:t>
      </w:r>
      <w:r>
        <w:t xml:space="preserve">The system must allow import of bank statements and automatic matching of deposits and payments. Unmatched transactions must be flagged for review【719911587995344†L366-L368】.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COGS and revenue recognition:</w:t>
      </w:r>
      <w:r>
        <w:t xml:space="preserve"> </w:t>
      </w:r>
      <w:r>
        <w:t xml:space="preserve">COGS must be calculated based on the configured inventory valuation method (e.g., FIFO, average cost). Revenue must be recognised at the time of shipment【719911587995344†L368-L369】.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 logs:</w:t>
      </w:r>
      <w:r>
        <w:t xml:space="preserve"> </w:t>
      </w:r>
      <w:r>
        <w:t xml:space="preserve">Detailed logs must record every financial transaction for audit and compliance【719911587995344†L370-L371】.</w:t>
      </w:r>
    </w:p>
    <w:bookmarkEnd w:id="30"/>
    <w:bookmarkStart w:id="31" w:name="operational-analytics-alerts"/>
    <w:p>
      <w:pPr>
        <w:pStyle w:val="Heading3"/>
      </w:pPr>
      <w:r>
        <w:t xml:space="preserve">3.10 Operational Analytics &amp; Alerts</w:t>
      </w:r>
    </w:p>
    <w:p>
      <w:pPr>
        <w:pStyle w:val="FirstParagraph"/>
      </w:pPr>
      <w:r>
        <w:t xml:space="preserve">This module provides dashboards, alerts and reporting across the system【91221083353783†L44-L45】.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Real‑time dashboards:</w:t>
      </w:r>
      <w:r>
        <w:t xml:space="preserve"> </w:t>
      </w:r>
      <w:r>
        <w:t xml:space="preserve">Dashboards must display up‑to‑date KPIs tailored to each persona (GM, Ops Manager, Purchasing Lead, CSR, etc.)【719911587995344†L399-L402】.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Alert notifications:</w:t>
      </w:r>
      <w:r>
        <w:t xml:space="preserve"> </w:t>
      </w:r>
      <w:r>
        <w:t xml:space="preserve">When thresholds (e.g., low stock, order delays, vendor lead time variance, tax liability) are exceeded, alerts must be sent to the appropriate users and logged for audit【719911587995344†L399-L403】.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Ad‑hoc reporting:</w:t>
      </w:r>
      <w:r>
        <w:t xml:space="preserve"> </w:t>
      </w:r>
      <w:r>
        <w:t xml:space="preserve">Users must be able to build, save and run reports without technical assistance【719911587995344†L399-L404】. Export to CSV or PDF must be supported.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warehouse integration:</w:t>
      </w:r>
      <w:r>
        <w:t xml:space="preserve"> </w:t>
      </w:r>
      <w:r>
        <w:t xml:space="preserve">An API or ETL interface must allow extraction of data for advanced analytics tools【719911587995344†L393-L396】.</w:t>
      </w:r>
    </w:p>
    <w:bookmarkEnd w:id="31"/>
    <w:bookmarkEnd w:id="32"/>
    <w:bookmarkStart w:id="39" w:name="X72056421aff1673edb19039e2464a44559f5ee4"/>
    <w:p>
      <w:pPr>
        <w:pStyle w:val="Heading2"/>
      </w:pPr>
      <w:r>
        <w:t xml:space="preserve">4 Acceptance Criteria for Phase 2 Enhancements</w:t>
      </w:r>
    </w:p>
    <w:p>
      <w:pPr>
        <w:pStyle w:val="FirstParagraph"/>
      </w:pPr>
      <w:r>
        <w:t xml:space="preserve">The following criteria apply to enhancements planned for Phase 2 of the ERP/IMS【719911587995344†L412-L456】:</w:t>
      </w:r>
    </w:p>
    <w:bookmarkStart w:id="33" w:name="demand-forecasting-eoq-optimisation"/>
    <w:p>
      <w:pPr>
        <w:pStyle w:val="Heading3"/>
      </w:pPr>
      <w:r>
        <w:t xml:space="preserve">4.1 Demand Forecasting &amp; EOQ Optimisation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Forecast accuracy:</w:t>
      </w:r>
      <w:r>
        <w:t xml:space="preserve"> </w:t>
      </w:r>
      <w:r>
        <w:t xml:space="preserve">Forecasts must be accurate within ±10 % for the top 100 SKUs【719911587995344†L414-L417】. Test by comparing forecasted demand with actual sales over a defined period.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Automated recommendations:</w:t>
      </w:r>
      <w:r>
        <w:t xml:space="preserve"> </w:t>
      </w:r>
      <w:r>
        <w:t xml:space="preserve">The system must generate EOQ and reorder point suggestions monthly for all stocked SKUs. Users must be able to override forecasts and suggestions.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Scenario simulation:</w:t>
      </w:r>
      <w:r>
        <w:t xml:space="preserve"> </w:t>
      </w:r>
      <w:r>
        <w:t xml:space="preserve">Users must be able to adjust parameters (lead times, safety stock) and run</w:t>
      </w:r>
      <w:r>
        <w:t xml:space="preserve"> </w:t>
      </w:r>
      <w:r>
        <w:t xml:space="preserve">“</w:t>
      </w:r>
      <w:r>
        <w:t xml:space="preserve">what‑if</w:t>
      </w:r>
      <w:r>
        <w:t xml:space="preserve">”</w:t>
      </w:r>
      <w:r>
        <w:t xml:space="preserve"> </w:t>
      </w:r>
      <w:r>
        <w:t xml:space="preserve">simulations to see impacts on inventory levels and cash flow.</w:t>
      </w:r>
    </w:p>
    <w:bookmarkEnd w:id="33"/>
    <w:bookmarkStart w:id="34" w:name="promotion-engine-contract-pricing-b2b"/>
    <w:p>
      <w:pPr>
        <w:pStyle w:val="Heading3"/>
      </w:pPr>
      <w:r>
        <w:t xml:space="preserve">4.2 Promotion Engine &amp; Contract Pricing (B2B)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Automatic application:</w:t>
      </w:r>
      <w:r>
        <w:t xml:space="preserve"> </w:t>
      </w:r>
      <w:r>
        <w:t xml:space="preserve">Promotions and contract prices must be applied automatically during order entry based on customer, product and promotion rules【719911587995344†L421-L425】.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Stacking &amp; exclusivity:</w:t>
      </w:r>
      <w:r>
        <w:t xml:space="preserve"> </w:t>
      </w:r>
      <w:r>
        <w:t xml:space="preserve">The engine must support stacking multiple promotions when allowed and enforce exclusivity when not. Test overlapping promotions for correct stacking or rejection.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Contract tiers:</w:t>
      </w:r>
      <w:r>
        <w:t xml:space="preserve"> </w:t>
      </w:r>
      <w:r>
        <w:t xml:space="preserve">Contract pricing tiers for B2B customers must override standard prices; expired contracts must not apply.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Audit &amp; reporting:</w:t>
      </w:r>
      <w:r>
        <w:t xml:space="preserve"> </w:t>
      </w:r>
      <w:r>
        <w:t xml:space="preserve">Promotion usage and contract pricing applications must be logged for reporting and audit.</w:t>
      </w:r>
    </w:p>
    <w:bookmarkEnd w:id="34"/>
    <w:bookmarkStart w:id="35" w:name="X301d1161d97434aab7d1e590ca71762dadd310d"/>
    <w:p>
      <w:pPr>
        <w:pStyle w:val="Heading3"/>
      </w:pPr>
      <w:r>
        <w:t xml:space="preserve">4.3 Light Manufacturing/Kitting with BOM Versioning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Assembly &amp; disassembly:</w:t>
      </w:r>
      <w:r>
        <w:t xml:space="preserve"> </w:t>
      </w:r>
      <w:r>
        <w:t xml:space="preserve">Users must be able to assemble and disassemble kits; component quantities must decrement/increment inventory accordingly【719911587995344†L430-L433】.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BOM version control:</w:t>
      </w:r>
      <w:r>
        <w:t xml:space="preserve"> </w:t>
      </w:r>
      <w:r>
        <w:t xml:space="preserve">The system must support multiple BOM versions with effective dates; inventory consumption must reflect the active BOM for the production date【719911587995344†L431-L433】.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Backflushing:</w:t>
      </w:r>
      <w:r>
        <w:t xml:space="preserve"> </w:t>
      </w:r>
      <w:r>
        <w:t xml:space="preserve">When a kit is built, component inventory must backflush automatically to the correct locations. Scrap rates must be recorded.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Work orders:</w:t>
      </w:r>
      <w:r>
        <w:t xml:space="preserve"> </w:t>
      </w:r>
      <w:r>
        <w:t xml:space="preserve">A work order must link assembly/disassembly operations to sales orders or stock replenishment, capturing labor and overhead costs when configured.</w:t>
      </w:r>
    </w:p>
    <w:bookmarkEnd w:id="35"/>
    <w:bookmarkStart w:id="36" w:name="pl-bidirectional-integration"/>
    <w:p>
      <w:pPr>
        <w:pStyle w:val="Heading3"/>
      </w:pPr>
      <w:r>
        <w:t xml:space="preserve">4.4 3PL Bidirectional Integration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Inventory alignment:</w:t>
      </w:r>
      <w:r>
        <w:t xml:space="preserve"> </w:t>
      </w:r>
      <w:r>
        <w:t xml:space="preserve">Quantities reported by 3PL providers must align with the ERP within acceptable tolerance; discrepancies must trigger alerts【719911587995344†L439-L441】.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Automatic updates:</w:t>
      </w:r>
      <w:r>
        <w:t xml:space="preserve"> </w:t>
      </w:r>
      <w:r>
        <w:t xml:space="preserve">Shipments created by 3PL must update ERP order statuses and provide tracking numbers automatically【719911587995344†L439-L441】.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Return handling:</w:t>
      </w:r>
      <w:r>
        <w:t xml:space="preserve"> </w:t>
      </w:r>
      <w:r>
        <w:t xml:space="preserve">Returns processed at 3PL must update ERP inventory and return status within</w:t>
      </w:r>
      <w:r>
        <w:t xml:space="preserve"> </w:t>
      </w:r>
      <w:r>
        <w:rPr>
          <w:bCs/>
          <w:b/>
        </w:rPr>
        <w:t xml:space="preserve">24 hours</w:t>
      </w:r>
      <w:r>
        <w:t xml:space="preserve">【719911587995344†L439-L441】.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Integration errors (e.g., failed API calls) must be logged; retry mechanisms must attempt recovery; persistent errors must alert support teams.</w:t>
      </w:r>
    </w:p>
    <w:bookmarkEnd w:id="36"/>
    <w:bookmarkStart w:id="37" w:name="customer-service-console-with-sla-timers"/>
    <w:p>
      <w:pPr>
        <w:pStyle w:val="Heading3"/>
      </w:pPr>
      <w:r>
        <w:t xml:space="preserve">4.5 Customer Service Console with SLA Timers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Ticket logging:</w:t>
      </w:r>
      <w:r>
        <w:t xml:space="preserve"> </w:t>
      </w:r>
      <w:r>
        <w:t xml:space="preserve">All customer service interactions (emails, phone calls, chat) must be logged as tickets with unique IDs【719911587995344†L445-L449】.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SLA timers:</w:t>
      </w:r>
      <w:r>
        <w:t xml:space="preserve"> </w:t>
      </w:r>
      <w:r>
        <w:t xml:space="preserve">Each ticket must display response and resolution timers based on SLA definitions. Escalations must trigger when thresholds are exceeded【719911587995344†L445-L449】.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Unified view:</w:t>
      </w:r>
      <w:r>
        <w:t xml:space="preserve"> </w:t>
      </w:r>
      <w:r>
        <w:t xml:space="preserve">CSRs must see order history, returns, promotions and customer communications in one console. Cross‑module links must provide context.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Analytics:</w:t>
      </w:r>
      <w:r>
        <w:t xml:space="preserve"> </w:t>
      </w:r>
      <w:r>
        <w:t xml:space="preserve">Reports must show average response times, resolution times and SLA adherence rates for CSRs and teams.</w:t>
      </w:r>
    </w:p>
    <w:bookmarkEnd w:id="37"/>
    <w:bookmarkStart w:id="38" w:name="edi-with-large-vendors"/>
    <w:p>
      <w:pPr>
        <w:pStyle w:val="Heading3"/>
      </w:pPr>
      <w:r>
        <w:t xml:space="preserve">4.6 EDI with Large Vendors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Transmission &amp; acknowledgement:</w:t>
      </w:r>
      <w:r>
        <w:t xml:space="preserve"> </w:t>
      </w:r>
      <w:r>
        <w:t xml:space="preserve">EDI purchase orders, invoices, ASNs and other documents must be transmitted automatically and acknowledged by trading partners【719911587995344†L453-L456】.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 alerts:</w:t>
      </w:r>
      <w:r>
        <w:t xml:space="preserve"> </w:t>
      </w:r>
      <w:r>
        <w:t xml:space="preserve">Failures (e.g., missing acknowledgment, schema errors) must generate alerts and log details【719911587995344†L455-L456】.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Trading partner configuration:</w:t>
      </w:r>
      <w:r>
        <w:t xml:space="preserve"> </w:t>
      </w:r>
      <w:r>
        <w:t xml:space="preserve">Users must be able to configure trading partner profiles (document types, endpoints, validation rules) without code changes【719911587995344†L455-L456】.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Audit reporting:</w:t>
      </w:r>
      <w:r>
        <w:t xml:space="preserve"> </w:t>
      </w:r>
      <w:r>
        <w:t xml:space="preserve">EDI transactions must be logged for audit, including timestamps, document IDs and statuses.</w:t>
      </w:r>
    </w:p>
    <w:bookmarkEnd w:id="38"/>
    <w:bookmarkEnd w:id="39"/>
    <w:bookmarkStart w:id="40" w:name="acceptance-and-verification-process"/>
    <w:p>
      <w:pPr>
        <w:pStyle w:val="Heading2"/>
      </w:pPr>
      <w:r>
        <w:t xml:space="preserve">5 Acceptance and Verification Process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Test planning:</w:t>
      </w:r>
      <w:r>
        <w:t xml:space="preserve"> </w:t>
      </w:r>
      <w:r>
        <w:t xml:space="preserve">For each feature, tests will be designed to verify all acceptance criteria. Functional tests, integration tests and performance tests will be included.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Test execution:</w:t>
      </w:r>
      <w:r>
        <w:t xml:space="preserve"> </w:t>
      </w:r>
      <w:r>
        <w:t xml:space="preserve">Tests will be executed in a staging environment that mirrors production. Automated test suites will be used where possible; manual tests will validate user interactions and edge cases.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Criteria evaluation:</w:t>
      </w:r>
      <w:r>
        <w:t xml:space="preserve"> </w:t>
      </w:r>
      <w:r>
        <w:t xml:space="preserve">A feature is accepted when all criteria are met and test results are documented. Failures will be logged and must be resolved before go‑live.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Stakeholder sign‑off:</w:t>
      </w:r>
      <w:r>
        <w:t xml:space="preserve"> </w:t>
      </w:r>
      <w:r>
        <w:t xml:space="preserve">Product owners or business stakeholders must sign off on accepted features, confirming that the system meets business needs and compliance requirements.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Regression and non‑functional tests:</w:t>
      </w:r>
      <w:r>
        <w:t xml:space="preserve"> </w:t>
      </w:r>
      <w:r>
        <w:t xml:space="preserve">Acceptance will also consider non‑functional requirements such as performance, availability, security and usability to ensure the overall system remains stable.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End of Document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2025-09-28T00:23:07Z</dcterms:created>
  <dcterms:modified xsi:type="dcterms:W3CDTF">2025-09-28T00:23:07Z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