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 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DC5F63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Prosjektukene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29.03.16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01.04.16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19</w:t>
            </w: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Robert Eikeland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 w:rsidRPr="009B4893">
              <w:rPr>
                <w:rFonts w:ascii="Calibri" w:hAnsi="Calibri"/>
                <w:b/>
                <w:color w:val="262626"/>
              </w:rPr>
              <w:t>702786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4F696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Peter Adams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4F696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703130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Daniel Belsvik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702688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Richard Phan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702728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Ibrar Ahmad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702712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Pakeerathan Chandrabala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278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702767</w:t>
            </w:r>
            <w:bookmarkStart w:id="0" w:name="_GoBack"/>
            <w:bookmarkEnd w:id="0"/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B775C4" w:rsidRPr="008E72FF" w:rsidRDefault="00D64AD7" w:rsidP="00B775C4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sectPr w:rsidR="00B775C4" w:rsidRPr="008E72FF" w:rsidSect="00D21FFC">
      <w:footerReference w:type="default" r:id="rId9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23E" w:rsidRDefault="0091223E">
      <w:r>
        <w:separator/>
      </w:r>
    </w:p>
  </w:endnote>
  <w:endnote w:type="continuationSeparator" w:id="0">
    <w:p w:rsidR="0091223E" w:rsidRDefault="0091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527800">
      <w:rPr>
        <w:rFonts w:asciiTheme="majorHAnsi" w:hAnsiTheme="majorHAnsi" w:cs="Arial"/>
        <w:noProof/>
      </w:rPr>
      <w:t>1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23E" w:rsidRDefault="0091223E">
      <w:r>
        <w:separator/>
      </w:r>
    </w:p>
  </w:footnote>
  <w:footnote w:type="continuationSeparator" w:id="0">
    <w:p w:rsidR="0091223E" w:rsidRDefault="00912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 w15:restartNumberingAfterBreak="0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1E2B09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4F6969"/>
    <w:rsid w:val="00527800"/>
    <w:rsid w:val="00594098"/>
    <w:rsid w:val="006111CF"/>
    <w:rsid w:val="0062131F"/>
    <w:rsid w:val="00790D18"/>
    <w:rsid w:val="00793D77"/>
    <w:rsid w:val="007C4C8B"/>
    <w:rsid w:val="0083513D"/>
    <w:rsid w:val="008D6475"/>
    <w:rsid w:val="008E0BAB"/>
    <w:rsid w:val="008E72FF"/>
    <w:rsid w:val="0091223E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A1C0B"/>
    <w:rsid w:val="00DC5F63"/>
    <w:rsid w:val="00DE0150"/>
    <w:rsid w:val="00E01EFC"/>
    <w:rsid w:val="00E26CDB"/>
    <w:rsid w:val="00E33EA0"/>
    <w:rsid w:val="00ED17C1"/>
    <w:rsid w:val="00F01A3E"/>
    <w:rsid w:val="00F14BC8"/>
    <w:rsid w:val="00F2460D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BBCB1"/>
  <w15:docId w15:val="{BB643A23-D5FD-43CD-A117-1C2848D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274ED-C143-4225-A24D-CF9A1D41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Richard Phan</cp:lastModifiedBy>
  <cp:revision>6</cp:revision>
  <cp:lastPrinted>2011-10-26T13:24:00Z</cp:lastPrinted>
  <dcterms:created xsi:type="dcterms:W3CDTF">2015-01-11T18:45:00Z</dcterms:created>
  <dcterms:modified xsi:type="dcterms:W3CDTF">2016-03-31T12:48:00Z</dcterms:modified>
</cp:coreProperties>
</file>