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34E2A453" w14:textId="2BEAD66A"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オキシトシン</w:t>
            </w:r>
          </w:p>
          <w:p w14:paraId="75C6D90B" w14:textId="243B4E96"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oxytocin</w:t>
            </w:r>
          </w:p>
          <w:p w14:paraId="6881737B" w14:textId="50DBD1FD"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ホルモン製剤</w:t>
            </w:r>
          </w:p>
          <w:p w14:paraId="49381285" w14:textId="33DA736C"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脳下垂体後葉ホルモン</w:t>
            </w:r>
          </w:p>
          <w:p w14:paraId="072B542F" w14:textId="564E8939"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注射</w:t>
            </w:r>
          </w:p>
          <w:p w14:paraId="244936B7" w14:textId="7BCA4F09"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なし</w:t>
            </w:r>
          </w:p>
          <w:p w14:paraId="42398BDB" w14:textId="1B47152B" w:rsidR="00161F86" w:rsidRPr="00161F86" w:rsidRDefault="00161F86" w:rsidP="00161F86">
            <w:pPr>
              <w:rPr>
                <w:rFonts w:ascii="HG丸ｺﾞｼｯｸM-PRO" w:eastAsia="HG丸ｺﾞｼｯｸM-PRO" w:hAnsi="HG丸ｺﾞｼｯｸM-PRO" w:hint="eastAsia"/>
                <w:sz w:val="24"/>
              </w:rPr>
            </w:pPr>
          </w:p>
          <w:p w14:paraId="34B73051"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sz w:val="24"/>
              </w:rPr>
              <w:t>[禁忌・慎重投与]</w:t>
            </w:r>
          </w:p>
          <w:p w14:paraId="72C57282" w14:textId="2328137E"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・禁忌</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本剤過敏症既往歴、PGF2α・PGE2製剤投与中の患者、プラステロン硫酸投与中または投与後十分な時間の経過のない患者、</w:t>
            </w:r>
          </w:p>
          <w:p w14:paraId="1BC6D253"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吸湿性頸管拡張材を挿入中の患者又はメトロイリンテル挿入後</w:t>
            </w:r>
            <w:r w:rsidRPr="00161F86">
              <w:rPr>
                <w:rFonts w:ascii="HG丸ｺﾞｼｯｸM-PRO" w:eastAsia="HG丸ｺﾞｼｯｸM-PRO" w:hAnsi="HG丸ｺﾞｼｯｸM-PRO"/>
                <w:sz w:val="24"/>
              </w:rPr>
              <w:t>1時間以上経過していない患者、</w:t>
            </w:r>
          </w:p>
          <w:p w14:paraId="357F7F9D" w14:textId="1F4CA592"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ジノプロストン（</w:t>
            </w:r>
            <w:r w:rsidRPr="00161F86">
              <w:rPr>
                <w:rFonts w:ascii="HG丸ｺﾞｼｯｸM-PRO" w:eastAsia="HG丸ｺﾞｼｯｸM-PRO" w:hAnsi="HG丸ｺﾞｼｯｸM-PRO"/>
                <w:sz w:val="24"/>
              </w:rPr>
              <w:t>PGE2）製剤の投与終了後1時間以上経過していない患者、骨盤狭窄、児頭骨盤不均衡、横位のある患者</w:t>
            </w:r>
            <w:r>
              <w:rPr>
                <w:rFonts w:ascii="HG丸ｺﾞｼｯｸM-PRO" w:eastAsia="HG丸ｺﾞｼｯｸM-PRO" w:hAnsi="HG丸ｺﾞｼｯｸM-PRO" w:hint="eastAsia"/>
                <w:sz w:val="24"/>
              </w:rPr>
              <w:t>、</w:t>
            </w:r>
          </w:p>
          <w:p w14:paraId="6E8E587B" w14:textId="62D80AE0" w:rsidR="00161F86" w:rsidRPr="00161F86" w:rsidRDefault="00161F86" w:rsidP="00161F86">
            <w:pPr>
              <w:rPr>
                <w:rFonts w:ascii="HG丸ｺﾞｼｯｸM-PRO" w:eastAsia="HG丸ｺﾞｼｯｸM-PRO" w:hAnsi="HG丸ｺﾞｼｯｸM-PRO" w:hint="eastAsia"/>
                <w:sz w:val="24"/>
              </w:rPr>
            </w:pPr>
            <w:r w:rsidRPr="00161F86">
              <w:rPr>
                <w:rFonts w:ascii="HG丸ｺﾞｼｯｸM-PRO" w:eastAsia="HG丸ｺﾞｼｯｸM-PRO" w:hAnsi="HG丸ｺﾞｼｯｸM-PRO" w:hint="eastAsia"/>
                <w:sz w:val="24"/>
              </w:rPr>
              <w:t>前置胎盤の患者、常位胎盤早期剥離の患者（胎児生存時）、重度胎児機能不全のある患者、過強陣痛の患者、切迫子宮破裂の患者</w:t>
            </w:r>
          </w:p>
          <w:p w14:paraId="2B69D27E" w14:textId="15261DDA" w:rsidR="00161F86" w:rsidRPr="00161F86" w:rsidRDefault="00161F86" w:rsidP="00161F86">
            <w:pPr>
              <w:rPr>
                <w:rFonts w:ascii="HG丸ｺﾞｼｯｸM-PRO" w:eastAsia="HG丸ｺﾞｼｯｸM-PRO" w:hAnsi="HG丸ｺﾞｼｯｸM-PRO" w:hint="eastAsia"/>
                <w:sz w:val="24"/>
              </w:rPr>
            </w:pPr>
          </w:p>
          <w:p w14:paraId="15BD023E"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sz w:val="24"/>
              </w:rPr>
              <w:t>[作用]</w:t>
            </w:r>
          </w:p>
          <w:p w14:paraId="0F0BCF88"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子宮筋に作用し子宮の律動的な収縮を起こさせる</w:t>
            </w:r>
          </w:p>
          <w:p w14:paraId="53254110" w14:textId="77777777" w:rsidR="00161F86" w:rsidRPr="00161F86" w:rsidRDefault="00161F86" w:rsidP="00161F86">
            <w:pPr>
              <w:rPr>
                <w:rFonts w:ascii="HG丸ｺﾞｼｯｸM-PRO" w:eastAsia="HG丸ｺﾞｼｯｸM-PRO" w:hAnsi="HG丸ｺﾞｼｯｸM-PRO"/>
                <w:sz w:val="24"/>
              </w:rPr>
            </w:pPr>
          </w:p>
          <w:p w14:paraId="573DE68A"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sz w:val="24"/>
              </w:rPr>
              <w:t>[適応]</w:t>
            </w:r>
          </w:p>
          <w:p w14:paraId="7CC23344"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分娩誘発、微弱陣痛、弛緩出血、胎盤娩出前後、子宮復古不全、帝王切開術（胎児娩出後）、流産、人工妊娠中絶</w:t>
            </w:r>
          </w:p>
          <w:p w14:paraId="4135B090"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上記における子宮収縮の誘発、促進並びに子宮出血の治療</w:t>
            </w:r>
          </w:p>
          <w:p w14:paraId="43C35DB4" w14:textId="77777777" w:rsidR="00161F86" w:rsidRPr="00161F86" w:rsidRDefault="00161F86" w:rsidP="00161F86">
            <w:pPr>
              <w:rPr>
                <w:rFonts w:ascii="HG丸ｺﾞｼｯｸM-PRO" w:eastAsia="HG丸ｺﾞｼｯｸM-PRO" w:hAnsi="HG丸ｺﾞｼｯｸM-PRO"/>
                <w:sz w:val="24"/>
              </w:rPr>
            </w:pPr>
          </w:p>
          <w:p w14:paraId="38EE909E"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sz w:val="24"/>
              </w:rPr>
              <w:t>[副作用]</w:t>
            </w:r>
          </w:p>
          <w:p w14:paraId="332EC927"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ショック、過強陣痛、子宮破裂、頸管裂傷、胎児機能不全など</w:t>
            </w:r>
          </w:p>
          <w:p w14:paraId="24E7A926" w14:textId="77777777" w:rsidR="00161F86" w:rsidRPr="00161F86" w:rsidRDefault="00161F86" w:rsidP="00161F86">
            <w:pPr>
              <w:rPr>
                <w:rFonts w:ascii="HG丸ｺﾞｼｯｸM-PRO" w:eastAsia="HG丸ｺﾞｼｯｸM-PRO" w:hAnsi="HG丸ｺﾞｼｯｸM-PRO"/>
                <w:sz w:val="24"/>
              </w:rPr>
            </w:pPr>
          </w:p>
          <w:p w14:paraId="6650D152" w14:textId="0034060B"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④豆知識</w:t>
            </w:r>
            <w:r>
              <w:rPr>
                <w:rFonts w:ascii="HG丸ｺﾞｼｯｸM-PRO" w:eastAsia="HG丸ｺﾞｼｯｸM-PRO" w:hAnsi="HG丸ｺﾞｼｯｸM-PRO" w:hint="eastAsia"/>
                <w:sz w:val="24"/>
              </w:rPr>
              <w:t>（</w:t>
            </w:r>
            <w:r w:rsidRPr="00161F86">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457B31AC"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●子宮筋の感受性には個人差が大きいため出来る限り少量から投与開始する</w:t>
            </w:r>
          </w:p>
          <w:p w14:paraId="222D6921" w14:textId="77777777" w:rsidR="00161F86" w:rsidRPr="00161F86"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●点滴速度を</w:t>
            </w:r>
            <w:r w:rsidRPr="00161F86">
              <w:rPr>
                <w:rFonts w:ascii="HG丸ｺﾞｼｯｸM-PRO" w:eastAsia="HG丸ｺﾞｼｯｸM-PRO" w:hAnsi="HG丸ｺﾞｼｯｸM-PRO"/>
                <w:sz w:val="24"/>
              </w:rPr>
              <w:t>20ミリ単位/分以上にあげても有効陣痛に至らない場合はそれ以上あげても効果は期待できないため増量しない</w:t>
            </w:r>
          </w:p>
          <w:p w14:paraId="1B08C7B0" w14:textId="77777777" w:rsidR="00C35691" w:rsidRDefault="00161F86" w:rsidP="00161F86">
            <w:pPr>
              <w:rPr>
                <w:rFonts w:ascii="HG丸ｺﾞｼｯｸM-PRO" w:eastAsia="HG丸ｺﾞｼｯｸM-PRO" w:hAnsi="HG丸ｺﾞｼｯｸM-PRO"/>
                <w:sz w:val="24"/>
              </w:rPr>
            </w:pPr>
            <w:r w:rsidRPr="00161F86">
              <w:rPr>
                <w:rFonts w:ascii="HG丸ｺﾞｼｯｸM-PRO" w:eastAsia="HG丸ｺﾞｼｯｸM-PRO" w:hAnsi="HG丸ｺﾞｼｯｸM-PRO" w:hint="eastAsia"/>
                <w:sz w:val="24"/>
              </w:rPr>
              <w:t>●微弱ながら抗利尿作用を有するため、血圧上昇及び水中毒に注意する</w:t>
            </w:r>
          </w:p>
          <w:p w14:paraId="724361F0" w14:textId="77777777" w:rsidR="00161F86" w:rsidRDefault="00161F86" w:rsidP="00161F86">
            <w:pPr>
              <w:rPr>
                <w:rFonts w:ascii="HG丸ｺﾞｼｯｸM-PRO" w:eastAsia="HG丸ｺﾞｼｯｸM-PRO" w:hAnsi="HG丸ｺﾞｼｯｸM-PRO"/>
                <w:sz w:val="24"/>
              </w:rPr>
            </w:pPr>
          </w:p>
          <w:p w14:paraId="6F61E99B" w14:textId="4326E211" w:rsidR="00161F86" w:rsidRPr="00C35691" w:rsidRDefault="00161F86" w:rsidP="00161F86">
            <w:pPr>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43DF6EF8">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61F86"/>
    <w:rsid w:val="002A014B"/>
    <w:rsid w:val="002C48FB"/>
    <w:rsid w:val="002E32E1"/>
    <w:rsid w:val="003B1EC6"/>
    <w:rsid w:val="003C111F"/>
    <w:rsid w:val="003D1D8D"/>
    <w:rsid w:val="003D78AC"/>
    <w:rsid w:val="004C4183"/>
    <w:rsid w:val="005D6B62"/>
    <w:rsid w:val="006C2CC6"/>
    <w:rsid w:val="00794740"/>
    <w:rsid w:val="007A7A8A"/>
    <w:rsid w:val="0081179E"/>
    <w:rsid w:val="00893E47"/>
    <w:rsid w:val="00900A36"/>
    <w:rsid w:val="009D3F5F"/>
    <w:rsid w:val="00AA007B"/>
    <w:rsid w:val="00AB3357"/>
    <w:rsid w:val="00AF3E10"/>
    <w:rsid w:val="00C35691"/>
    <w:rsid w:val="00C46B6F"/>
    <w:rsid w:val="00C65585"/>
    <w:rsid w:val="00CE0808"/>
    <w:rsid w:val="00D30E21"/>
    <w:rsid w:val="00D34BFD"/>
    <w:rsid w:val="00D64532"/>
    <w:rsid w:val="00DD0693"/>
    <w:rsid w:val="00DD7567"/>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24747448">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0586962">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25</cp:revision>
  <dcterms:created xsi:type="dcterms:W3CDTF">2024-05-03T09:52:00Z</dcterms:created>
  <dcterms:modified xsi:type="dcterms:W3CDTF">2024-12-08T07:48:00Z</dcterms:modified>
</cp:coreProperties>
</file>