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573BD0AB" w14:textId="2DD6D5C2"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セフトリアキソン</w:t>
            </w:r>
          </w:p>
          <w:p w14:paraId="2CC1126E" w14:textId="00E2847D"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Ceftriaxone</w:t>
            </w:r>
          </w:p>
          <w:p w14:paraId="05ECC56E" w14:textId="4C83E51D"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抗菌薬</w:t>
            </w:r>
          </w:p>
          <w:p w14:paraId="675EBAAA" w14:textId="2B17FD66"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セフェム系</w:t>
            </w:r>
          </w:p>
          <w:p w14:paraId="382C0451" w14:textId="2C213D1F"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静注</w:t>
            </w:r>
          </w:p>
          <w:p w14:paraId="0BAE7B3C" w14:textId="4615E854"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なし</w:t>
            </w:r>
          </w:p>
          <w:p w14:paraId="6BBBB2B8" w14:textId="517EC072" w:rsidR="004D78D1" w:rsidRDefault="004D78D1" w:rsidP="004D78D1">
            <w:pPr>
              <w:jc w:val="left"/>
              <w:rPr>
                <w:rFonts w:ascii="HG丸ｺﾞｼｯｸM-PRO" w:eastAsia="HG丸ｺﾞｼｯｸM-PRO" w:hAnsi="HG丸ｺﾞｼｯｸM-PRO"/>
                <w:sz w:val="24"/>
              </w:rPr>
            </w:pPr>
          </w:p>
          <w:p w14:paraId="2CDB6523" w14:textId="22E62DDF" w:rsidR="004D78D1" w:rsidRPr="004D78D1" w:rsidRDefault="004D78D1" w:rsidP="004D78D1">
            <w:pPr>
              <w:jc w:val="left"/>
              <w:rPr>
                <w:rFonts w:ascii="HG丸ｺﾞｼｯｸM-PRO" w:eastAsia="HG丸ｺﾞｼｯｸM-PRO" w:hAnsi="HG丸ｺﾞｼｯｸM-PRO" w:hint="eastAsia"/>
                <w:sz w:val="24"/>
              </w:rPr>
            </w:pPr>
            <w:r w:rsidRPr="004D78D1">
              <w:rPr>
                <w:rFonts w:ascii="HG丸ｺﾞｼｯｸM-PRO" w:eastAsia="HG丸ｺﾞｼｯｸM-PRO" w:hAnsi="HG丸ｺﾞｼｯｸM-PRO" w:hint="eastAsia"/>
                <w:sz w:val="24"/>
              </w:rPr>
              <w:t>［</w:t>
            </w:r>
            <w:r>
              <w:rPr>
                <w:rFonts w:ascii="HG丸ｺﾞｼｯｸM-PRO" w:eastAsia="HG丸ｺﾞｼｯｸM-PRO" w:hAnsi="HG丸ｺﾞｼｯｸM-PRO" w:hint="eastAsia"/>
                <w:sz w:val="24"/>
              </w:rPr>
              <w:t>禁忌・慎重投与</w:t>
            </w:r>
            <w:r w:rsidRPr="004D78D1">
              <w:rPr>
                <w:rFonts w:ascii="HG丸ｺﾞｼｯｸM-PRO" w:eastAsia="HG丸ｺﾞｼｯｸM-PRO" w:hAnsi="HG丸ｺﾞｼｯｸM-PRO" w:hint="eastAsia"/>
                <w:sz w:val="24"/>
              </w:rPr>
              <w:t>］</w:t>
            </w:r>
          </w:p>
          <w:p w14:paraId="7561075D" w14:textId="61B99782" w:rsidR="004D78D1" w:rsidRPr="004D78D1" w:rsidRDefault="004D78D1" w:rsidP="004D78D1">
            <w:pPr>
              <w:jc w:val="left"/>
              <w:rPr>
                <w:rFonts w:ascii="HG丸ｺﾞｼｯｸM-PRO" w:eastAsia="HG丸ｺﾞｼｯｸM-PRO" w:hAnsi="HG丸ｺﾞｼｯｸM-PRO" w:hint="eastAsia"/>
                <w:sz w:val="24"/>
              </w:rPr>
            </w:pPr>
            <w:r w:rsidRPr="004D78D1">
              <w:rPr>
                <w:rFonts w:ascii="HG丸ｺﾞｼｯｸM-PRO" w:eastAsia="HG丸ｺﾞｼｯｸM-PRO" w:hAnsi="HG丸ｺﾞｼｯｸM-PRO" w:hint="eastAsia"/>
                <w:sz w:val="24"/>
              </w:rPr>
              <w:t>・禁忌</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過敏症患者、高ビリルビン血症の低出生体重児、新生児</w:t>
            </w:r>
          </w:p>
          <w:p w14:paraId="74459651" w14:textId="737A8C3D" w:rsidR="004D78D1" w:rsidRPr="004D78D1" w:rsidRDefault="004D78D1" w:rsidP="004D78D1">
            <w:pPr>
              <w:jc w:val="left"/>
              <w:rPr>
                <w:rFonts w:ascii="HG丸ｺﾞｼｯｸM-PRO" w:eastAsia="HG丸ｺﾞｼｯｸM-PRO" w:hAnsi="HG丸ｺﾞｼｯｸM-PRO" w:hint="eastAsia"/>
                <w:sz w:val="24"/>
              </w:rPr>
            </w:pPr>
          </w:p>
          <w:p w14:paraId="2CA49AF6"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［作用］</w:t>
            </w:r>
          </w:p>
          <w:p w14:paraId="41D99AD2"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細胞壁合成阻害により殺菌的に作用。</w:t>
            </w:r>
          </w:p>
          <w:p w14:paraId="541540C1"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大腸菌においてはペニシリン結合蛋白（</w:t>
            </w:r>
            <w:r w:rsidRPr="004D78D1">
              <w:rPr>
                <w:rFonts w:ascii="HG丸ｺﾞｼｯｸM-PRO" w:eastAsia="HG丸ｺﾞｼｯｸM-PRO" w:hAnsi="HG丸ｺﾞｼｯｸM-PRO"/>
                <w:sz w:val="24"/>
              </w:rPr>
              <w:t>PBP）３に最も親和性高く、細菌細胞壁ペプチドグリカン架橋形成を阻害して殺菌的に作用する。</w:t>
            </w:r>
          </w:p>
          <w:p w14:paraId="4E621D7B" w14:textId="77777777" w:rsidR="004D78D1" w:rsidRPr="004D78D1" w:rsidRDefault="004D78D1" w:rsidP="004D78D1">
            <w:pPr>
              <w:jc w:val="left"/>
              <w:rPr>
                <w:rFonts w:ascii="HG丸ｺﾞｼｯｸM-PRO" w:eastAsia="HG丸ｺﾞｼｯｸM-PRO" w:hAnsi="HG丸ｺﾞｼｯｸM-PRO"/>
                <w:sz w:val="24"/>
              </w:rPr>
            </w:pPr>
          </w:p>
          <w:p w14:paraId="2511CAB5"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［適応］</w:t>
            </w:r>
          </w:p>
          <w:p w14:paraId="369A3F1F"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セフトリアキソンに感性のブドウ球菌属、レンサ球菌属、肺炎球菌、淋菌、大腸菌、シトロバクター属、クレブシエラ属、エンテロバクター属、セラチア属、プロテウス属、モルガネラ・モルガニー、</w:t>
            </w:r>
          </w:p>
          <w:p w14:paraId="56745909"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プロビデンシア属、インフルエンザ菌、ペプトストレプトコッカス属、バクテロイデス属、プレボテラ属（プレボテラ・ビビアを除く）</w:t>
            </w:r>
          </w:p>
          <w:p w14:paraId="488880C4"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に起因する感染症</w:t>
            </w:r>
          </w:p>
          <w:p w14:paraId="37C0B885" w14:textId="77777777" w:rsidR="004D78D1" w:rsidRPr="004D78D1" w:rsidRDefault="004D78D1" w:rsidP="004D78D1">
            <w:pPr>
              <w:jc w:val="left"/>
              <w:rPr>
                <w:rFonts w:ascii="HG丸ｺﾞｼｯｸM-PRO" w:eastAsia="HG丸ｺﾞｼｯｸM-PRO" w:hAnsi="HG丸ｺﾞｼｯｸM-PRO"/>
                <w:sz w:val="24"/>
              </w:rPr>
            </w:pPr>
          </w:p>
          <w:p w14:paraId="77738D92"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［副作用］</w:t>
            </w:r>
          </w:p>
          <w:p w14:paraId="270B1047"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汎血球減少、無顆粒球症、劇症肝炎、肝機能障害、間質性腎炎、胆石、胆の</w:t>
            </w:r>
            <w:proofErr w:type="gramStart"/>
            <w:r w:rsidRPr="004D78D1">
              <w:rPr>
                <w:rFonts w:ascii="HG丸ｺﾞｼｯｸM-PRO" w:eastAsia="HG丸ｺﾞｼｯｸM-PRO" w:hAnsi="HG丸ｺﾞｼｯｸM-PRO" w:hint="eastAsia"/>
                <w:sz w:val="24"/>
              </w:rPr>
              <w:t>う</w:t>
            </w:r>
            <w:proofErr w:type="gramEnd"/>
            <w:r w:rsidRPr="004D78D1">
              <w:rPr>
                <w:rFonts w:ascii="HG丸ｺﾞｼｯｸM-PRO" w:eastAsia="HG丸ｺﾞｼｯｸM-PRO" w:hAnsi="HG丸ｺﾞｼｯｸM-PRO" w:hint="eastAsia"/>
                <w:sz w:val="24"/>
              </w:rPr>
              <w:t>内沈殿物、発疹、下痢、嘔気嘔吐など</w:t>
            </w:r>
          </w:p>
          <w:p w14:paraId="6E7C3F8B" w14:textId="77777777" w:rsidR="004D78D1" w:rsidRPr="004D78D1" w:rsidRDefault="004D78D1" w:rsidP="004D78D1">
            <w:pPr>
              <w:jc w:val="left"/>
              <w:rPr>
                <w:rFonts w:ascii="HG丸ｺﾞｼｯｸM-PRO" w:eastAsia="HG丸ｺﾞｼｯｸM-PRO" w:hAnsi="HG丸ｺﾞｼｯｸM-PRO"/>
                <w:sz w:val="24"/>
              </w:rPr>
            </w:pPr>
          </w:p>
          <w:p w14:paraId="2F9EA9D7" w14:textId="67EFC830"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④豆知識</w:t>
            </w:r>
            <w:r>
              <w:rPr>
                <w:rFonts w:ascii="HG丸ｺﾞｼｯｸM-PRO" w:eastAsia="HG丸ｺﾞｼｯｸM-PRO" w:hAnsi="HG丸ｺﾞｼｯｸM-PRO" w:hint="eastAsia"/>
                <w:sz w:val="24"/>
              </w:rPr>
              <w:t>（</w:t>
            </w:r>
            <w:r w:rsidRPr="004D78D1">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74E657C5"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●第三世代セフェムで、グラム陰性菌に主に作用する。</w:t>
            </w:r>
          </w:p>
          <w:p w14:paraId="43C22963"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●緑膿菌には効果を示さない。</w:t>
            </w:r>
          </w:p>
          <w:p w14:paraId="0ABA8885"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●カルシウム含有輸液・注射剤とは結晶析出が起こるため、混合して</w:t>
            </w:r>
            <w:proofErr w:type="gramStart"/>
            <w:r w:rsidRPr="004D78D1">
              <w:rPr>
                <w:rFonts w:ascii="HG丸ｺﾞｼｯｸM-PRO" w:eastAsia="HG丸ｺﾞｼｯｸM-PRO" w:hAnsi="HG丸ｺﾞｼｯｸM-PRO" w:hint="eastAsia"/>
                <w:sz w:val="24"/>
              </w:rPr>
              <w:t>はは</w:t>
            </w:r>
            <w:proofErr w:type="gramEnd"/>
            <w:r w:rsidRPr="004D78D1">
              <w:rPr>
                <w:rFonts w:ascii="HG丸ｺﾞｼｯｸM-PRO" w:eastAsia="HG丸ｺﾞｼｯｸM-PRO" w:hAnsi="HG丸ｺﾞｼｯｸM-PRO" w:hint="eastAsia"/>
                <w:sz w:val="24"/>
              </w:rPr>
              <w:t>ならない。</w:t>
            </w:r>
          </w:p>
          <w:p w14:paraId="311409B8"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●髄液移行性が高く、髄膜炎に使用できる。</w:t>
            </w:r>
          </w:p>
          <w:p w14:paraId="68C5A28C" w14:textId="77777777" w:rsidR="004D78D1" w:rsidRPr="004D78D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●半減期が他の抗菌薬に比べ長く、（</w:t>
            </w:r>
            <w:r w:rsidRPr="004D78D1">
              <w:rPr>
                <w:rFonts w:ascii="HG丸ｺﾞｼｯｸM-PRO" w:eastAsia="HG丸ｺﾞｼｯｸM-PRO" w:hAnsi="HG丸ｺﾞｼｯｸM-PRO"/>
                <w:sz w:val="24"/>
              </w:rPr>
              <w:t>6-8時間程度）1日1-2回の使用で効果を発揮する。</w:t>
            </w:r>
          </w:p>
          <w:p w14:paraId="6F61E99B" w14:textId="00F9B260" w:rsidR="00CB474B" w:rsidRPr="00C35691" w:rsidRDefault="004D78D1" w:rsidP="004D78D1">
            <w:pPr>
              <w:jc w:val="left"/>
              <w:rPr>
                <w:rFonts w:ascii="HG丸ｺﾞｼｯｸM-PRO" w:eastAsia="HG丸ｺﾞｼｯｸM-PRO" w:hAnsi="HG丸ｺﾞｼｯｸM-PRO"/>
                <w:sz w:val="24"/>
              </w:rPr>
            </w:pPr>
            <w:r w:rsidRPr="004D78D1">
              <w:rPr>
                <w:rFonts w:ascii="HG丸ｺﾞｼｯｸM-PRO" w:eastAsia="HG丸ｺﾞｼｯｸM-PRO" w:hAnsi="HG丸ｺﾞｼｯｸM-PRO" w:hint="eastAsia"/>
                <w:sz w:val="24"/>
              </w:rPr>
              <w:t>●肝代謝・胆汁排泄のため、腎機能低下患者に使用しやすい。</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74DFD152">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4D78D1"/>
    <w:rsid w:val="005D6B62"/>
    <w:rsid w:val="006C2CC6"/>
    <w:rsid w:val="00794740"/>
    <w:rsid w:val="007A7A8A"/>
    <w:rsid w:val="0081179E"/>
    <w:rsid w:val="00893E47"/>
    <w:rsid w:val="00900A36"/>
    <w:rsid w:val="009D3F5F"/>
    <w:rsid w:val="00AA007B"/>
    <w:rsid w:val="00AB3357"/>
    <w:rsid w:val="00C35691"/>
    <w:rsid w:val="00C46B6F"/>
    <w:rsid w:val="00C65585"/>
    <w:rsid w:val="00CB474B"/>
    <w:rsid w:val="00CE0808"/>
    <w:rsid w:val="00D30E21"/>
    <w:rsid w:val="00D34BFD"/>
    <w:rsid w:val="00D64532"/>
    <w:rsid w:val="00DD0693"/>
    <w:rsid w:val="00E75C22"/>
    <w:rsid w:val="00EB2B6D"/>
    <w:rsid w:val="00FB450F"/>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24</cp:revision>
  <dcterms:created xsi:type="dcterms:W3CDTF">2024-05-03T09:52:00Z</dcterms:created>
  <dcterms:modified xsi:type="dcterms:W3CDTF">2024-12-08T08:04:00Z</dcterms:modified>
</cp:coreProperties>
</file>