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5E9D32A5" w14:textId="1E5D457C"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・薬剤名</w:t>
            </w:r>
            <w:r w:rsidRPr="00852CA1">
              <w:rPr>
                <w:rFonts w:ascii="HG丸ｺﾞｼｯｸM-PRO" w:eastAsia="HG丸ｺﾞｼｯｸM-PRO" w:hAnsi="HG丸ｺﾞｼｯｸM-PRO" w:hint="eastAsia"/>
                <w:sz w:val="20"/>
                <w:szCs w:val="20"/>
              </w:rPr>
              <w:t>（</w:t>
            </w:r>
            <w:r w:rsidRPr="00852CA1">
              <w:rPr>
                <w:rFonts w:ascii="HG丸ｺﾞｼｯｸM-PRO" w:eastAsia="HG丸ｺﾞｼｯｸM-PRO" w:hAnsi="HG丸ｺﾞｼｯｸM-PRO"/>
                <w:sz w:val="20"/>
                <w:szCs w:val="20"/>
              </w:rPr>
              <w:t>一般名</w:t>
            </w:r>
            <w:r w:rsidRPr="00852CA1">
              <w:rPr>
                <w:rFonts w:ascii="HG丸ｺﾞｼｯｸM-PRO" w:eastAsia="HG丸ｺﾞｼｯｸM-PRO" w:hAnsi="HG丸ｺﾞｼｯｸM-PRO" w:hint="eastAsia"/>
                <w:sz w:val="20"/>
                <w:szCs w:val="20"/>
              </w:rPr>
              <w:t>）：</w:t>
            </w:r>
            <w:r w:rsidRPr="00852CA1">
              <w:rPr>
                <w:rFonts w:ascii="HG丸ｺﾞｼｯｸM-PRO" w:eastAsia="HG丸ｺﾞｼｯｸM-PRO" w:hAnsi="HG丸ｺﾞｼｯｸM-PRO"/>
                <w:sz w:val="20"/>
                <w:szCs w:val="20"/>
              </w:rPr>
              <w:t>バンコマイシン</w:t>
            </w:r>
          </w:p>
          <w:p w14:paraId="4FACBEE7" w14:textId="1770C6D5"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・英名</w:t>
            </w:r>
            <w:r w:rsidRPr="00852CA1">
              <w:rPr>
                <w:rFonts w:ascii="HG丸ｺﾞｼｯｸM-PRO" w:eastAsia="HG丸ｺﾞｼｯｸM-PRO" w:hAnsi="HG丸ｺﾞｼｯｸM-PRO" w:hint="eastAsia"/>
                <w:sz w:val="20"/>
                <w:szCs w:val="20"/>
              </w:rPr>
              <w:t>：</w:t>
            </w:r>
            <w:r w:rsidRPr="00852CA1">
              <w:rPr>
                <w:rFonts w:ascii="HG丸ｺﾞｼｯｸM-PRO" w:eastAsia="HG丸ｺﾞｼｯｸM-PRO" w:hAnsi="HG丸ｺﾞｼｯｸM-PRO"/>
                <w:sz w:val="20"/>
                <w:szCs w:val="20"/>
              </w:rPr>
              <w:t>vancomycin</w:t>
            </w:r>
          </w:p>
          <w:p w14:paraId="31249164" w14:textId="765C1732"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・分類</w:t>
            </w:r>
            <w:r w:rsidRPr="00852CA1">
              <w:rPr>
                <w:rFonts w:ascii="HG丸ｺﾞｼｯｸM-PRO" w:eastAsia="HG丸ｺﾞｼｯｸM-PRO" w:hAnsi="HG丸ｺﾞｼｯｸM-PRO" w:hint="eastAsia"/>
                <w:sz w:val="20"/>
                <w:szCs w:val="20"/>
              </w:rPr>
              <w:t>：</w:t>
            </w:r>
            <w:r w:rsidRPr="00852CA1">
              <w:rPr>
                <w:rFonts w:ascii="HG丸ｺﾞｼｯｸM-PRO" w:eastAsia="HG丸ｺﾞｼｯｸM-PRO" w:hAnsi="HG丸ｺﾞｼｯｸM-PRO"/>
                <w:sz w:val="20"/>
                <w:szCs w:val="20"/>
              </w:rPr>
              <w:t>グリコペプチド系</w:t>
            </w:r>
          </w:p>
          <w:p w14:paraId="62EA6B43" w14:textId="7F41A674"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・分類</w:t>
            </w:r>
            <w:r w:rsidRPr="00852CA1">
              <w:rPr>
                <w:rFonts w:ascii="HG丸ｺﾞｼｯｸM-PRO" w:eastAsia="HG丸ｺﾞｼｯｸM-PRO" w:hAnsi="HG丸ｺﾞｼｯｸM-PRO" w:hint="eastAsia"/>
                <w:sz w:val="20"/>
                <w:szCs w:val="20"/>
              </w:rPr>
              <w:t>（</w:t>
            </w:r>
            <w:r w:rsidRPr="00852CA1">
              <w:rPr>
                <w:rFonts w:ascii="HG丸ｺﾞｼｯｸM-PRO" w:eastAsia="HG丸ｺﾞｼｯｸM-PRO" w:hAnsi="HG丸ｺﾞｼｯｸM-PRO"/>
                <w:sz w:val="20"/>
                <w:szCs w:val="20"/>
              </w:rPr>
              <w:t>略称</w:t>
            </w:r>
            <w:r w:rsidRPr="00852CA1">
              <w:rPr>
                <w:rFonts w:ascii="HG丸ｺﾞｼｯｸM-PRO" w:eastAsia="HG丸ｺﾞｼｯｸM-PRO" w:hAnsi="HG丸ｺﾞｼｯｸM-PRO" w:hint="eastAsia"/>
                <w:sz w:val="20"/>
                <w:szCs w:val="20"/>
              </w:rPr>
              <w:t>）：</w:t>
            </w:r>
            <w:r w:rsidRPr="00852CA1">
              <w:rPr>
                <w:rFonts w:ascii="HG丸ｺﾞｼｯｸM-PRO" w:eastAsia="HG丸ｺﾞｼｯｸM-PRO" w:hAnsi="HG丸ｺﾞｼｯｸM-PRO"/>
                <w:sz w:val="20"/>
                <w:szCs w:val="20"/>
              </w:rPr>
              <w:t>抗菌薬</w:t>
            </w:r>
          </w:p>
          <w:p w14:paraId="5621E38C" w14:textId="28BC3D4B"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・用法</w:t>
            </w:r>
            <w:r w:rsidRPr="00852CA1">
              <w:rPr>
                <w:rFonts w:ascii="HG丸ｺﾞｼｯｸM-PRO" w:eastAsia="HG丸ｺﾞｼｯｸM-PRO" w:hAnsi="HG丸ｺﾞｼｯｸM-PRO" w:hint="eastAsia"/>
                <w:sz w:val="20"/>
                <w:szCs w:val="20"/>
              </w:rPr>
              <w:t>：</w:t>
            </w:r>
            <w:r w:rsidRPr="00852CA1">
              <w:rPr>
                <w:rFonts w:ascii="HG丸ｺﾞｼｯｸM-PRO" w:eastAsia="HG丸ｺﾞｼｯｸM-PRO" w:hAnsi="HG丸ｺﾞｼｯｸM-PRO"/>
                <w:sz w:val="20"/>
                <w:szCs w:val="20"/>
              </w:rPr>
              <w:t>注、経口（散）、眼軟膏</w:t>
            </w:r>
          </w:p>
          <w:p w14:paraId="6D235583" w14:textId="210BD079"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・表示区分</w:t>
            </w:r>
            <w:r w:rsidRPr="00852CA1">
              <w:rPr>
                <w:rFonts w:ascii="HG丸ｺﾞｼｯｸM-PRO" w:eastAsia="HG丸ｺﾞｼｯｸM-PRO" w:hAnsi="HG丸ｺﾞｼｯｸM-PRO" w:hint="eastAsia"/>
                <w:sz w:val="20"/>
                <w:szCs w:val="20"/>
              </w:rPr>
              <w:t>：</w:t>
            </w:r>
            <w:r w:rsidRPr="00852CA1">
              <w:rPr>
                <w:rFonts w:ascii="HG丸ｺﾞｼｯｸM-PRO" w:eastAsia="HG丸ｺﾞｼｯｸM-PRO" w:hAnsi="HG丸ｺﾞｼｯｸM-PRO"/>
                <w:sz w:val="20"/>
                <w:szCs w:val="20"/>
              </w:rPr>
              <w:t>なし</w:t>
            </w:r>
          </w:p>
          <w:p w14:paraId="7D03532A" w14:textId="5D4986A0" w:rsidR="00852CA1" w:rsidRPr="00852CA1" w:rsidRDefault="00852CA1" w:rsidP="00852CA1">
            <w:pPr>
              <w:spacing w:line="0" w:lineRule="atLeast"/>
              <w:jc w:val="left"/>
              <w:rPr>
                <w:rFonts w:ascii="HG丸ｺﾞｼｯｸM-PRO" w:eastAsia="HG丸ｺﾞｼｯｸM-PRO" w:hAnsi="HG丸ｺﾞｼｯｸM-PRO" w:hint="eastAsia"/>
                <w:sz w:val="20"/>
                <w:szCs w:val="20"/>
              </w:rPr>
            </w:pPr>
          </w:p>
          <w:p w14:paraId="039A789C"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sz w:val="20"/>
                <w:szCs w:val="20"/>
              </w:rPr>
              <w:t>[禁忌・慎重投与]</w:t>
            </w:r>
          </w:p>
          <w:p w14:paraId="5811A002" w14:textId="16C477DD"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・禁忌</w:t>
            </w:r>
            <w:r w:rsidRPr="00852CA1">
              <w:rPr>
                <w:rFonts w:ascii="HG丸ｺﾞｼｯｸM-PRO" w:eastAsia="HG丸ｺﾞｼｯｸM-PRO" w:hAnsi="HG丸ｺﾞｼｯｸM-PRO" w:hint="eastAsia"/>
                <w:sz w:val="20"/>
                <w:szCs w:val="20"/>
              </w:rPr>
              <w:t>：</w:t>
            </w:r>
            <w:r w:rsidRPr="00852CA1">
              <w:rPr>
                <w:rFonts w:ascii="HG丸ｺﾞｼｯｸM-PRO" w:eastAsia="HG丸ｺﾞｼｯｸM-PRO" w:hAnsi="HG丸ｺﾞｼｯｸM-PRO"/>
                <w:sz w:val="20"/>
                <w:szCs w:val="20"/>
              </w:rPr>
              <w:t>過敏症既往歴</w:t>
            </w:r>
          </w:p>
          <w:p w14:paraId="3734546E" w14:textId="6AC2B70A"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・慎重投与</w:t>
            </w:r>
            <w:r w:rsidRPr="00852CA1">
              <w:rPr>
                <w:rFonts w:ascii="HG丸ｺﾞｼｯｸM-PRO" w:eastAsia="HG丸ｺﾞｼｯｸM-PRO" w:hAnsi="HG丸ｺﾞｼｯｸM-PRO" w:hint="eastAsia"/>
                <w:sz w:val="20"/>
                <w:szCs w:val="20"/>
              </w:rPr>
              <w:t>：</w:t>
            </w:r>
            <w:r w:rsidRPr="00852CA1">
              <w:rPr>
                <w:rFonts w:ascii="HG丸ｺﾞｼｯｸM-PRO" w:eastAsia="HG丸ｺﾞｼｯｸM-PRO" w:hAnsi="HG丸ｺﾞｼｯｸM-PRO"/>
                <w:sz w:val="20"/>
                <w:szCs w:val="20"/>
              </w:rPr>
              <w:t>腎肝障害・高齢者・小児</w:t>
            </w:r>
          </w:p>
          <w:p w14:paraId="720A877E" w14:textId="4AF4DD63" w:rsidR="00852CA1" w:rsidRPr="00852CA1" w:rsidRDefault="00852CA1" w:rsidP="00852CA1">
            <w:pPr>
              <w:spacing w:line="0" w:lineRule="atLeast"/>
              <w:jc w:val="left"/>
              <w:rPr>
                <w:rFonts w:ascii="HG丸ｺﾞｼｯｸM-PRO" w:eastAsia="HG丸ｺﾞｼｯｸM-PRO" w:hAnsi="HG丸ｺﾞｼｯｸM-PRO" w:hint="eastAsia"/>
                <w:sz w:val="20"/>
                <w:szCs w:val="20"/>
              </w:rPr>
            </w:pPr>
          </w:p>
          <w:p w14:paraId="18FCDA19"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sz w:val="20"/>
                <w:szCs w:val="20"/>
              </w:rPr>
              <w:t>[作用]</w:t>
            </w:r>
          </w:p>
          <w:p w14:paraId="3747A528"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細菌の細胞壁を構成するペプチドグリカン前駆体の</w:t>
            </w:r>
            <w:r w:rsidRPr="00852CA1">
              <w:rPr>
                <w:rFonts w:ascii="HG丸ｺﾞｼｯｸM-PRO" w:eastAsia="HG丸ｺﾞｼｯｸM-PRO" w:hAnsi="HG丸ｺﾞｼｯｸM-PRO"/>
                <w:sz w:val="20"/>
                <w:szCs w:val="20"/>
              </w:rPr>
              <w:t>D-アラニル-D-アラニン部位に結合し、細胞壁合成を阻害する。また、細胞膜の変性及びRNA合成阻害を引き起こし、殺菌的に作用する。</w:t>
            </w:r>
          </w:p>
          <w:p w14:paraId="5297D296"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p>
          <w:p w14:paraId="2576A347"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sz w:val="20"/>
                <w:szCs w:val="20"/>
              </w:rPr>
              <w:t>[適応]</w:t>
            </w:r>
          </w:p>
          <w:p w14:paraId="5362AC04"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（注）</w:t>
            </w:r>
          </w:p>
          <w:p w14:paraId="0B6DEB66"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・バンコマイシン感受性の</w:t>
            </w:r>
            <w:r w:rsidRPr="00852CA1">
              <w:rPr>
                <w:rFonts w:ascii="HG丸ｺﾞｼｯｸM-PRO" w:eastAsia="HG丸ｺﾞｼｯｸM-PRO" w:hAnsi="HG丸ｺﾞｼｯｸM-PRO"/>
                <w:sz w:val="20"/>
                <w:szCs w:val="20"/>
              </w:rPr>
              <w:t>MRSAによる以下の疾患</w:t>
            </w:r>
          </w:p>
          <w:p w14:paraId="12EC68A5"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敗血症、感染性心内膜炎、外傷・熱傷及び手術創等の二次感染、骨髄炎、関節炎、肺炎、肺膿瘍、膿胸、腹膜炎、化膿性髄膜炎</w:t>
            </w:r>
          </w:p>
          <w:p w14:paraId="12774B73"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・バンコマイシン感受性の</w:t>
            </w:r>
            <w:r w:rsidRPr="00852CA1">
              <w:rPr>
                <w:rFonts w:ascii="HG丸ｺﾞｼｯｸM-PRO" w:eastAsia="HG丸ｺﾞｼｯｸM-PRO" w:hAnsi="HG丸ｺﾞｼｯｸM-PRO"/>
                <w:sz w:val="20"/>
                <w:szCs w:val="20"/>
              </w:rPr>
              <w:t>MRCNSによる以下の疾患</w:t>
            </w:r>
          </w:p>
          <w:p w14:paraId="05963586"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敗血症、感染性心内膜炎、外傷・熱傷及び手術創等の二次感染、骨髄炎、関節炎、腹膜炎、化膿性髄膜炎</w:t>
            </w:r>
          </w:p>
          <w:p w14:paraId="6E9018BD"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・バンコマイシン感受性のペニシリン耐性肺炎球菌による以下の疾患</w:t>
            </w:r>
          </w:p>
          <w:p w14:paraId="2911FA4E"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敗血症、肺炎、化膿性髄膜炎</w:t>
            </w:r>
          </w:p>
          <w:p w14:paraId="31BC4EB0"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w:t>
            </w:r>
            <w:r w:rsidRPr="00852CA1">
              <w:rPr>
                <w:rFonts w:ascii="HG丸ｺﾞｼｯｸM-PRO" w:eastAsia="HG丸ｺﾞｼｯｸM-PRO" w:hAnsi="HG丸ｺﾞｼｯｸM-PRO"/>
                <w:sz w:val="20"/>
                <w:szCs w:val="20"/>
              </w:rPr>
              <w:t>MRSAまたはMRCNS感染が疑われる発熱性好中球減少症</w:t>
            </w:r>
          </w:p>
          <w:p w14:paraId="2023934D"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p>
          <w:p w14:paraId="0FD6B0E4"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（散）</w:t>
            </w:r>
          </w:p>
          <w:p w14:paraId="3A4CCBFB"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バンコマイシン感性</w:t>
            </w:r>
            <w:r w:rsidRPr="00852CA1">
              <w:rPr>
                <w:rFonts w:ascii="HG丸ｺﾞｼｯｸM-PRO" w:eastAsia="HG丸ｺﾞｼｯｸM-PRO" w:hAnsi="HG丸ｺﾞｼｯｸM-PRO"/>
                <w:sz w:val="20"/>
                <w:szCs w:val="20"/>
              </w:rPr>
              <w:t>MRSA・</w:t>
            </w:r>
            <w:proofErr w:type="spellStart"/>
            <w:r w:rsidRPr="00852CA1">
              <w:rPr>
                <w:rFonts w:ascii="HG丸ｺﾞｼｯｸM-PRO" w:eastAsia="HG丸ｺﾞｼｯｸM-PRO" w:hAnsi="HG丸ｺﾞｼｯｸM-PRO"/>
                <w:sz w:val="20"/>
                <w:szCs w:val="20"/>
              </w:rPr>
              <w:t>Clostridiodes</w:t>
            </w:r>
            <w:proofErr w:type="spellEnd"/>
            <w:r w:rsidRPr="00852CA1">
              <w:rPr>
                <w:rFonts w:ascii="HG丸ｺﾞｼｯｸM-PRO" w:eastAsia="HG丸ｺﾞｼｯｸM-PRO" w:hAnsi="HG丸ｺﾞｼｯｸM-PRO"/>
                <w:sz w:val="20"/>
                <w:szCs w:val="20"/>
              </w:rPr>
              <w:t xml:space="preserve"> difficileによる感染性腸炎、骨髄移植時の消化管内殺菌</w:t>
            </w:r>
          </w:p>
          <w:p w14:paraId="2F3A3C05"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p>
          <w:p w14:paraId="681D4B81"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（眼軟膏）</w:t>
            </w:r>
          </w:p>
          <w:p w14:paraId="46E67CD6"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・バンコマイシン感受性の</w:t>
            </w:r>
            <w:r w:rsidRPr="00852CA1">
              <w:rPr>
                <w:rFonts w:ascii="HG丸ｺﾞｼｯｸM-PRO" w:eastAsia="HG丸ｺﾞｼｯｸM-PRO" w:hAnsi="HG丸ｺﾞｼｯｸM-PRO"/>
                <w:sz w:val="20"/>
                <w:szCs w:val="20"/>
              </w:rPr>
              <w:t>MRSA・MRSEによる以下の疾患のうち、既存治療で効果不十分なもの</w:t>
            </w:r>
          </w:p>
          <w:p w14:paraId="135009F1"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結膜炎、眼瞼炎、瞼板腺炎、涙嚢炎</w:t>
            </w:r>
          </w:p>
          <w:p w14:paraId="009A211F"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p>
          <w:p w14:paraId="33F54913"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sz w:val="20"/>
                <w:szCs w:val="20"/>
              </w:rPr>
              <w:t>[副作用]</w:t>
            </w:r>
          </w:p>
          <w:p w14:paraId="64013B30"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レッドマン症候群、急性腎不全、</w:t>
            </w:r>
            <w:r w:rsidRPr="00852CA1">
              <w:rPr>
                <w:rFonts w:ascii="HG丸ｺﾞｼｯｸM-PRO" w:eastAsia="HG丸ｺﾞｼｯｸM-PRO" w:hAnsi="HG丸ｺﾞｼｯｸM-PRO"/>
                <w:sz w:val="20"/>
                <w:szCs w:val="20"/>
              </w:rPr>
              <w:t>TEN、</w:t>
            </w:r>
            <w:proofErr w:type="spellStart"/>
            <w:r w:rsidRPr="00852CA1">
              <w:rPr>
                <w:rFonts w:ascii="HG丸ｺﾞｼｯｸM-PRO" w:eastAsia="HG丸ｺﾞｼｯｸM-PRO" w:hAnsi="HG丸ｺﾞｼｯｸM-PRO"/>
                <w:sz w:val="20"/>
                <w:szCs w:val="20"/>
              </w:rPr>
              <w:t>SjS</w:t>
            </w:r>
            <w:proofErr w:type="spellEnd"/>
            <w:r w:rsidRPr="00852CA1">
              <w:rPr>
                <w:rFonts w:ascii="HG丸ｺﾞｼｯｸM-PRO" w:eastAsia="HG丸ｺﾞｼｯｸM-PRO" w:hAnsi="HG丸ｺﾞｼｯｸM-PRO"/>
                <w:sz w:val="20"/>
                <w:szCs w:val="20"/>
              </w:rPr>
              <w:t>、第8脳神経障害、汎血球減少、薬剤性過敏症症候群、</w:t>
            </w:r>
          </w:p>
          <w:p w14:paraId="6012DA22" w14:textId="77777777" w:rsidR="00852CA1" w:rsidRPr="00852CA1" w:rsidRDefault="00852CA1" w:rsidP="00852CA1">
            <w:pPr>
              <w:spacing w:line="0" w:lineRule="atLeast"/>
              <w:jc w:val="left"/>
              <w:rPr>
                <w:rFonts w:ascii="HG丸ｺﾞｼｯｸM-PRO" w:eastAsia="HG丸ｺﾞｼｯｸM-PRO" w:hAnsi="HG丸ｺﾞｼｯｸM-PRO" w:hint="eastAsia"/>
                <w:sz w:val="20"/>
                <w:szCs w:val="20"/>
              </w:rPr>
            </w:pPr>
          </w:p>
          <w:p w14:paraId="4E4739EB" w14:textId="3DF3D834"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豆知識</w:t>
            </w:r>
            <w:r w:rsidRPr="00852CA1">
              <w:rPr>
                <w:rFonts w:ascii="HG丸ｺﾞｼｯｸM-PRO" w:eastAsia="HG丸ｺﾞｼｯｸM-PRO" w:hAnsi="HG丸ｺﾞｼｯｸM-PRO" w:hint="eastAsia"/>
                <w:sz w:val="20"/>
                <w:szCs w:val="20"/>
              </w:rPr>
              <w:t>（</w:t>
            </w:r>
            <w:r w:rsidRPr="00852CA1">
              <w:rPr>
                <w:rFonts w:ascii="HG丸ｺﾞｼｯｸM-PRO" w:eastAsia="HG丸ｺﾞｼｯｸM-PRO" w:hAnsi="HG丸ｺﾞｼｯｸM-PRO"/>
                <w:sz w:val="20"/>
                <w:szCs w:val="20"/>
              </w:rPr>
              <w:t>国試対策事項や使用の注意等</w:t>
            </w:r>
            <w:r w:rsidRPr="00852CA1">
              <w:rPr>
                <w:rFonts w:ascii="HG丸ｺﾞｼｯｸM-PRO" w:eastAsia="HG丸ｺﾞｼｯｸM-PRO" w:hAnsi="HG丸ｺﾞｼｯｸM-PRO" w:hint="eastAsia"/>
                <w:sz w:val="20"/>
                <w:szCs w:val="20"/>
              </w:rPr>
              <w:t>）</w:t>
            </w:r>
          </w:p>
          <w:p w14:paraId="1D85D7F8"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●治療域と副作用域が近いため、投与中の患者には</w:t>
            </w:r>
            <w:r w:rsidRPr="00852CA1">
              <w:rPr>
                <w:rFonts w:ascii="HG丸ｺﾞｼｯｸM-PRO" w:eastAsia="HG丸ｺﾞｼｯｸM-PRO" w:hAnsi="HG丸ｺﾞｼｯｸM-PRO"/>
                <w:sz w:val="20"/>
                <w:szCs w:val="20"/>
              </w:rPr>
              <w:t>TDMを実施し、その血中濃度を確認する必要がある。</w:t>
            </w:r>
          </w:p>
          <w:p w14:paraId="32BB18A4"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●血中濃度の有効域は</w:t>
            </w:r>
            <w:r w:rsidRPr="00852CA1">
              <w:rPr>
                <w:rFonts w:ascii="HG丸ｺﾞｼｯｸM-PRO" w:eastAsia="HG丸ｺﾞｼｯｸM-PRO" w:hAnsi="HG丸ｺﾞｼｯｸM-PRO"/>
                <w:sz w:val="20"/>
                <w:szCs w:val="20"/>
              </w:rPr>
              <w:t>10～15μg/mlで、20μg/ml以上になると副作用発現率が上昇する。</w:t>
            </w:r>
          </w:p>
          <w:p w14:paraId="4EAD135C"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●採血は投与</w:t>
            </w:r>
            <w:r w:rsidRPr="00852CA1">
              <w:rPr>
                <w:rFonts w:ascii="HG丸ｺﾞｼｯｸM-PRO" w:eastAsia="HG丸ｺﾞｼｯｸM-PRO" w:hAnsi="HG丸ｺﾞｼｯｸM-PRO"/>
                <w:sz w:val="20"/>
                <w:szCs w:val="20"/>
              </w:rPr>
              <w:t>4～5回目の直前の血中濃度をトラフ値とする。</w:t>
            </w:r>
          </w:p>
          <w:p w14:paraId="60CC8AB5"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●分子量が非常に大きいため、消化管から吸収されない。</w:t>
            </w:r>
          </w:p>
          <w:p w14:paraId="21F23D3D"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●そのため、経口剤は消化管「内」の感染症・除菌に限られる。</w:t>
            </w:r>
          </w:p>
          <w:p w14:paraId="65240DD2" w14:textId="77777777" w:rsidR="00852CA1" w:rsidRPr="00852CA1"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●レッドマン症候群予防のために投与には</w:t>
            </w:r>
            <w:r w:rsidRPr="00852CA1">
              <w:rPr>
                <w:rFonts w:ascii="HG丸ｺﾞｼｯｸM-PRO" w:eastAsia="HG丸ｺﾞｼｯｸM-PRO" w:hAnsi="HG丸ｺﾞｼｯｸM-PRO"/>
                <w:sz w:val="20"/>
                <w:szCs w:val="20"/>
              </w:rPr>
              <w:t>60分以上かけて行うこと。</w:t>
            </w:r>
          </w:p>
          <w:p w14:paraId="268DFABF" w14:textId="77777777" w:rsidR="004A04A3" w:rsidRDefault="00852CA1" w:rsidP="00852CA1">
            <w:pPr>
              <w:spacing w:line="0" w:lineRule="atLeast"/>
              <w:jc w:val="left"/>
              <w:rPr>
                <w:rFonts w:ascii="HG丸ｺﾞｼｯｸM-PRO" w:eastAsia="HG丸ｺﾞｼｯｸM-PRO" w:hAnsi="HG丸ｺﾞｼｯｸM-PRO"/>
                <w:sz w:val="20"/>
                <w:szCs w:val="20"/>
              </w:rPr>
            </w:pPr>
            <w:r w:rsidRPr="00852CA1">
              <w:rPr>
                <w:rFonts w:ascii="HG丸ｺﾞｼｯｸM-PRO" w:eastAsia="HG丸ｺﾞｼｯｸM-PRO" w:hAnsi="HG丸ｺﾞｼｯｸM-PRO" w:hint="eastAsia"/>
                <w:sz w:val="20"/>
                <w:szCs w:val="20"/>
              </w:rPr>
              <w:t>●名前はペニシリン耐性黄色ブドウ球菌に打ち勝つ（</w:t>
            </w:r>
            <w:r w:rsidRPr="00852CA1">
              <w:rPr>
                <w:rFonts w:ascii="HG丸ｺﾞｼｯｸM-PRO" w:eastAsia="HG丸ｺﾞｼｯｸM-PRO" w:hAnsi="HG丸ｺﾞｼｯｸM-PRO"/>
                <w:sz w:val="20"/>
                <w:szCs w:val="20"/>
              </w:rPr>
              <w:t>vanquish）に由来する。</w:t>
            </w:r>
          </w:p>
          <w:p w14:paraId="3A3F6EC0" w14:textId="77777777" w:rsidR="00852CA1" w:rsidRDefault="00852CA1" w:rsidP="00852CA1">
            <w:pPr>
              <w:spacing w:line="0" w:lineRule="atLeast"/>
              <w:jc w:val="left"/>
              <w:rPr>
                <w:rFonts w:ascii="HG丸ｺﾞｼｯｸM-PRO" w:eastAsia="HG丸ｺﾞｼｯｸM-PRO" w:hAnsi="HG丸ｺﾞｼｯｸM-PRO"/>
                <w:sz w:val="20"/>
                <w:szCs w:val="20"/>
              </w:rPr>
            </w:pPr>
          </w:p>
          <w:p w14:paraId="4541FD2C" w14:textId="77777777" w:rsidR="00852CA1" w:rsidRDefault="00852CA1" w:rsidP="00852CA1">
            <w:pPr>
              <w:spacing w:line="0" w:lineRule="atLeast"/>
              <w:jc w:val="left"/>
              <w:rPr>
                <w:rFonts w:ascii="HG丸ｺﾞｼｯｸM-PRO" w:eastAsia="HG丸ｺﾞｼｯｸM-PRO" w:hAnsi="HG丸ｺﾞｼｯｸM-PRO"/>
                <w:sz w:val="20"/>
                <w:szCs w:val="20"/>
              </w:rPr>
            </w:pPr>
          </w:p>
          <w:p w14:paraId="6F61E99B" w14:textId="33332820" w:rsidR="00852CA1" w:rsidRPr="00852CA1" w:rsidRDefault="00852CA1" w:rsidP="00852CA1">
            <w:pPr>
              <w:spacing w:line="0" w:lineRule="atLeast"/>
              <w:jc w:val="left"/>
              <w:rPr>
                <w:rFonts w:ascii="HG丸ｺﾞｼｯｸM-PRO" w:eastAsia="HG丸ｺﾞｼｯｸM-PRO" w:hAnsi="HG丸ｺﾞｼｯｸM-PRO" w:hint="eastAsia"/>
                <w:sz w:val="20"/>
                <w:szCs w:val="20"/>
              </w:rPr>
            </w:pP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62174B28">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2A014B"/>
    <w:rsid w:val="002C48FB"/>
    <w:rsid w:val="002E32E1"/>
    <w:rsid w:val="003B1EC6"/>
    <w:rsid w:val="003C111F"/>
    <w:rsid w:val="003D1D8D"/>
    <w:rsid w:val="003D78AC"/>
    <w:rsid w:val="004A04A3"/>
    <w:rsid w:val="005D6B62"/>
    <w:rsid w:val="006C2CC6"/>
    <w:rsid w:val="00794740"/>
    <w:rsid w:val="007A7A8A"/>
    <w:rsid w:val="0081179E"/>
    <w:rsid w:val="00852CA1"/>
    <w:rsid w:val="00893E47"/>
    <w:rsid w:val="00900A36"/>
    <w:rsid w:val="009D3F5F"/>
    <w:rsid w:val="00AA007B"/>
    <w:rsid w:val="00AB3357"/>
    <w:rsid w:val="00C35691"/>
    <w:rsid w:val="00C46B6F"/>
    <w:rsid w:val="00C65585"/>
    <w:rsid w:val="00CB474B"/>
    <w:rsid w:val="00CE0808"/>
    <w:rsid w:val="00D30E21"/>
    <w:rsid w:val="00D34BFD"/>
    <w:rsid w:val="00D64532"/>
    <w:rsid w:val="00DD0693"/>
    <w:rsid w:val="00E75C22"/>
    <w:rsid w:val="00EB2B6D"/>
    <w:rsid w:val="00FB450F"/>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152</Words>
  <Characters>872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25</cp:revision>
  <dcterms:created xsi:type="dcterms:W3CDTF">2024-05-03T09:52:00Z</dcterms:created>
  <dcterms:modified xsi:type="dcterms:W3CDTF">2024-12-08T08:18:00Z</dcterms:modified>
</cp:coreProperties>
</file>