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483DD2EC" w14:textId="02A42762"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ウルソデオキシコール酸</w:t>
            </w:r>
          </w:p>
          <w:p w14:paraId="06D182B3" w14:textId="7D7AD23B"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 xml:space="preserve">Ursodeoxycholic </w:t>
            </w:r>
            <w:proofErr w:type="spellStart"/>
            <w:r w:rsidRPr="005631BF">
              <w:rPr>
                <w:rFonts w:ascii="HG丸ｺﾞｼｯｸM-PRO" w:eastAsia="HG丸ｺﾞｼｯｸM-PRO" w:hAnsi="HG丸ｺﾞｼｯｸM-PRO"/>
                <w:sz w:val="24"/>
              </w:rPr>
              <w:t>asid</w:t>
            </w:r>
            <w:proofErr w:type="spellEnd"/>
          </w:p>
          <w:p w14:paraId="2E8FD423" w14:textId="01E298F1"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胆石溶解薬</w:t>
            </w:r>
          </w:p>
          <w:p w14:paraId="5ECA04A6" w14:textId="25B1BA60"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胆肝消化機能改善薬</w:t>
            </w:r>
          </w:p>
          <w:p w14:paraId="07214E84" w14:textId="6C43274B"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経口（錠）</w:t>
            </w:r>
          </w:p>
          <w:p w14:paraId="23CDDB3F" w14:textId="69EABEBD"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なし</w:t>
            </w:r>
          </w:p>
          <w:p w14:paraId="3B2661EB" w14:textId="6DA44CF2" w:rsidR="005631BF" w:rsidRDefault="005631BF" w:rsidP="005631BF">
            <w:pPr>
              <w:jc w:val="left"/>
              <w:rPr>
                <w:rFonts w:ascii="HG丸ｺﾞｼｯｸM-PRO" w:eastAsia="HG丸ｺﾞｼｯｸM-PRO" w:hAnsi="HG丸ｺﾞｼｯｸM-PRO"/>
                <w:sz w:val="24"/>
              </w:rPr>
            </w:pPr>
          </w:p>
          <w:p w14:paraId="61A0B6DA" w14:textId="4E2E58D3" w:rsidR="005631BF" w:rsidRPr="005631BF" w:rsidRDefault="005631BF" w:rsidP="005631BF">
            <w:pPr>
              <w:jc w:val="left"/>
              <w:rPr>
                <w:rFonts w:ascii="HG丸ｺﾞｼｯｸM-PRO" w:eastAsia="HG丸ｺﾞｼｯｸM-PRO" w:hAnsi="HG丸ｺﾞｼｯｸM-PRO" w:hint="eastAsia"/>
                <w:sz w:val="24"/>
              </w:rPr>
            </w:pPr>
            <w:r w:rsidRPr="005631BF">
              <w:rPr>
                <w:rFonts w:ascii="HG丸ｺﾞｼｯｸM-PRO" w:eastAsia="HG丸ｺﾞｼｯｸM-PRO" w:hAnsi="HG丸ｺﾞｼｯｸM-PRO" w:hint="eastAsia"/>
                <w:sz w:val="24"/>
              </w:rPr>
              <w:t>［</w:t>
            </w:r>
            <w:r>
              <w:rPr>
                <w:rFonts w:ascii="HG丸ｺﾞｼｯｸM-PRO" w:eastAsia="HG丸ｺﾞｼｯｸM-PRO" w:hAnsi="HG丸ｺﾞｼｯｸM-PRO" w:hint="eastAsia"/>
                <w:sz w:val="24"/>
              </w:rPr>
              <w:t>禁忌・慎重投与</w:t>
            </w:r>
            <w:r w:rsidRPr="005631BF">
              <w:rPr>
                <w:rFonts w:ascii="HG丸ｺﾞｼｯｸM-PRO" w:eastAsia="HG丸ｺﾞｼｯｸM-PRO" w:hAnsi="HG丸ｺﾞｼｯｸM-PRO" w:hint="eastAsia"/>
                <w:sz w:val="24"/>
              </w:rPr>
              <w:t>］</w:t>
            </w:r>
          </w:p>
          <w:p w14:paraId="4A874D50" w14:textId="6667EFDE"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・禁忌</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完全胆道閉塞のある患者、劇症肝炎の患者</w:t>
            </w:r>
          </w:p>
          <w:p w14:paraId="43ADC0D7" w14:textId="1879A188"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・慎重投与</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重篤の膵疾患のある患者、消化性潰瘍のある患者、胆管に胆石のある患者など</w:t>
            </w:r>
          </w:p>
          <w:p w14:paraId="56DA3038" w14:textId="0D36AC8F" w:rsidR="005631BF" w:rsidRPr="005631BF" w:rsidRDefault="005631BF" w:rsidP="005631BF">
            <w:pPr>
              <w:jc w:val="left"/>
              <w:rPr>
                <w:rFonts w:ascii="HG丸ｺﾞｼｯｸM-PRO" w:eastAsia="HG丸ｺﾞｼｯｸM-PRO" w:hAnsi="HG丸ｺﾞｼｯｸM-PRO" w:hint="eastAsia"/>
                <w:sz w:val="24"/>
              </w:rPr>
            </w:pPr>
          </w:p>
          <w:p w14:paraId="0B78CA5C"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［作用］</w:t>
            </w:r>
          </w:p>
          <w:p w14:paraId="33F7E21F"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胆汁分泌促進作用（利胆作用）により胆汁</w:t>
            </w:r>
            <w:proofErr w:type="gramStart"/>
            <w:r w:rsidRPr="005631BF">
              <w:rPr>
                <w:rFonts w:ascii="HG丸ｺﾞｼｯｸM-PRO" w:eastAsia="HG丸ｺﾞｼｯｸM-PRO" w:hAnsi="HG丸ｺﾞｼｯｸM-PRO" w:hint="eastAsia"/>
                <w:sz w:val="24"/>
              </w:rPr>
              <w:t>うっ滞を</w:t>
            </w:r>
            <w:proofErr w:type="gramEnd"/>
            <w:r w:rsidRPr="005631BF">
              <w:rPr>
                <w:rFonts w:ascii="HG丸ｺﾞｼｯｸM-PRO" w:eastAsia="HG丸ｺﾞｼｯｸM-PRO" w:hAnsi="HG丸ｺﾞｼｯｸM-PRO" w:hint="eastAsia"/>
                <w:sz w:val="24"/>
              </w:rPr>
              <w:t>改善する。また肝臓で細胞障害性の高い疎水性胆汁酸と置き換わり、疎水性胆汁酸の肝障害作用を減弱させる。</w:t>
            </w:r>
          </w:p>
          <w:p w14:paraId="47AA89AA"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さらに、サイトカイン</w:t>
            </w:r>
            <w:r w:rsidRPr="005631BF">
              <w:rPr>
                <w:rFonts w:ascii="HG丸ｺﾞｼｯｸM-PRO" w:eastAsia="HG丸ｺﾞｼｯｸM-PRO" w:hAnsi="HG丸ｺﾞｼｯｸM-PRO"/>
                <w:sz w:val="24"/>
              </w:rPr>
              <w:t>/ケモカインの産生抑制や肝臓への炎症細胞の浸潤を抑制し肝機能を改善する。</w:t>
            </w:r>
          </w:p>
          <w:p w14:paraId="747026C1" w14:textId="77777777" w:rsidR="005631BF" w:rsidRPr="005631BF" w:rsidRDefault="005631BF" w:rsidP="005631BF">
            <w:pPr>
              <w:jc w:val="left"/>
              <w:rPr>
                <w:rFonts w:ascii="HG丸ｺﾞｼｯｸM-PRO" w:eastAsia="HG丸ｺﾞｼｯｸM-PRO" w:hAnsi="HG丸ｺﾞｼｯｸM-PRO"/>
                <w:sz w:val="24"/>
              </w:rPr>
            </w:pPr>
          </w:p>
          <w:p w14:paraId="0D8BBED1"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［適応］</w:t>
            </w:r>
          </w:p>
          <w:p w14:paraId="4523FF6A"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胆道系疾患及び胆汁</w:t>
            </w:r>
            <w:proofErr w:type="gramStart"/>
            <w:r w:rsidRPr="005631BF">
              <w:rPr>
                <w:rFonts w:ascii="HG丸ｺﾞｼｯｸM-PRO" w:eastAsia="HG丸ｺﾞｼｯｸM-PRO" w:hAnsi="HG丸ｺﾞｼｯｸM-PRO" w:hint="eastAsia"/>
                <w:sz w:val="24"/>
              </w:rPr>
              <w:t>うっ滞を</w:t>
            </w:r>
            <w:proofErr w:type="gramEnd"/>
            <w:r w:rsidRPr="005631BF">
              <w:rPr>
                <w:rFonts w:ascii="HG丸ｺﾞｼｯｸM-PRO" w:eastAsia="HG丸ｺﾞｼｯｸM-PRO" w:hAnsi="HG丸ｺﾞｼｯｸM-PRO" w:hint="eastAsia"/>
                <w:sz w:val="24"/>
              </w:rPr>
              <w:t>伴う肝疾患における利胆、</w:t>
            </w:r>
            <w:r w:rsidRPr="005631BF">
              <w:rPr>
                <w:rFonts w:ascii="HG丸ｺﾞｼｯｸM-PRO" w:eastAsia="HG丸ｺﾞｼｯｸM-PRO" w:hAnsi="HG丸ｺﾞｼｯｸM-PRO"/>
                <w:sz w:val="24"/>
              </w:rPr>
              <w:t>C型肝炎を含む慢性肝疾患における肝機能改善、外殻石灰化を認めないコレステロール系胆石の溶解、原発性胆汁性肝硬変における肝機能改善、小腸切除後遺症、炎症性小腸疾患における消化不良</w:t>
            </w:r>
          </w:p>
          <w:p w14:paraId="110A54C9" w14:textId="77777777" w:rsidR="005631BF" w:rsidRPr="005631BF" w:rsidRDefault="005631BF" w:rsidP="005631BF">
            <w:pPr>
              <w:jc w:val="left"/>
              <w:rPr>
                <w:rFonts w:ascii="HG丸ｺﾞｼｯｸM-PRO" w:eastAsia="HG丸ｺﾞｼｯｸM-PRO" w:hAnsi="HG丸ｺﾞｼｯｸM-PRO"/>
                <w:sz w:val="24"/>
              </w:rPr>
            </w:pPr>
          </w:p>
          <w:p w14:paraId="54635D3D"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［副作用］</w:t>
            </w:r>
          </w:p>
          <w:p w14:paraId="02FCCC2C"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間質性肺炎、下痢、食欲不振、掻痒、</w:t>
            </w:r>
            <w:r w:rsidRPr="005631BF">
              <w:rPr>
                <w:rFonts w:ascii="HG丸ｺﾞｼｯｸM-PRO" w:eastAsia="HG丸ｺﾞｼｯｸM-PRO" w:hAnsi="HG丸ｺﾞｼｯｸM-PRO"/>
                <w:sz w:val="24"/>
              </w:rPr>
              <w:t>AST・ALT上昇など</w:t>
            </w:r>
          </w:p>
          <w:p w14:paraId="373173C0" w14:textId="77777777" w:rsidR="005631BF" w:rsidRPr="005631BF" w:rsidRDefault="005631BF" w:rsidP="005631BF">
            <w:pPr>
              <w:jc w:val="left"/>
              <w:rPr>
                <w:rFonts w:ascii="HG丸ｺﾞｼｯｸM-PRO" w:eastAsia="HG丸ｺﾞｼｯｸM-PRO" w:hAnsi="HG丸ｺﾞｼｯｸM-PRO"/>
                <w:sz w:val="24"/>
              </w:rPr>
            </w:pPr>
          </w:p>
          <w:p w14:paraId="7F325654" w14:textId="6CD8B9AD"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豆知識</w:t>
            </w:r>
            <w:r>
              <w:rPr>
                <w:rFonts w:ascii="HG丸ｺﾞｼｯｸM-PRO" w:eastAsia="HG丸ｺﾞｼｯｸM-PRO" w:hAnsi="HG丸ｺﾞｼｯｸM-PRO" w:hint="eastAsia"/>
                <w:sz w:val="24"/>
              </w:rPr>
              <w:t>（</w:t>
            </w:r>
            <w:r w:rsidRPr="005631BF">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4926D398"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●体内で生成される</w:t>
            </w:r>
            <w:r w:rsidRPr="005631BF">
              <w:rPr>
                <w:rFonts w:ascii="HG丸ｺﾞｼｯｸM-PRO" w:eastAsia="HG丸ｺﾞｼｯｸM-PRO" w:hAnsi="HG丸ｺﾞｼｯｸM-PRO"/>
                <w:sz w:val="24"/>
              </w:rPr>
              <w:t>5種類の胆汁酸で最も親水性が高く、細胞毒性が少ない</w:t>
            </w:r>
          </w:p>
          <w:p w14:paraId="71904A74"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●生薬の熊胆の有効成分の一つで発見から単離、化学合成に至るまで日本で行われた</w:t>
            </w:r>
          </w:p>
          <w:p w14:paraId="478534FC" w14:textId="77777777" w:rsidR="005631BF" w:rsidRPr="005631BF"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●ラテン語の熊を意味する</w:t>
            </w:r>
            <w:r w:rsidRPr="005631BF">
              <w:rPr>
                <w:rFonts w:ascii="HG丸ｺﾞｼｯｸM-PRO" w:eastAsia="HG丸ｺﾞｼｯｸM-PRO" w:hAnsi="HG丸ｺﾞｼｯｸM-PRO"/>
                <w:sz w:val="24"/>
              </w:rPr>
              <w:t>Ursusから名づけられた</w:t>
            </w:r>
          </w:p>
          <w:p w14:paraId="0624EB89" w14:textId="77777777" w:rsidR="00C35691" w:rsidRDefault="005631BF" w:rsidP="005631BF">
            <w:pPr>
              <w:jc w:val="left"/>
              <w:rPr>
                <w:rFonts w:ascii="HG丸ｺﾞｼｯｸM-PRO" w:eastAsia="HG丸ｺﾞｼｯｸM-PRO" w:hAnsi="HG丸ｺﾞｼｯｸM-PRO"/>
                <w:sz w:val="24"/>
              </w:rPr>
            </w:pPr>
            <w:r w:rsidRPr="005631BF">
              <w:rPr>
                <w:rFonts w:ascii="HG丸ｺﾞｼｯｸM-PRO" w:eastAsia="HG丸ｺﾞｼｯｸM-PRO" w:hAnsi="HG丸ｺﾞｼｯｸM-PRO" w:hint="eastAsia"/>
                <w:sz w:val="24"/>
              </w:rPr>
              <w:t>●第</w:t>
            </w:r>
            <w:r w:rsidRPr="005631BF">
              <w:rPr>
                <w:rFonts w:ascii="HG丸ｺﾞｼｯｸM-PRO" w:eastAsia="HG丸ｺﾞｼｯｸM-PRO" w:hAnsi="HG丸ｺﾞｼｯｸM-PRO"/>
                <w:sz w:val="24"/>
              </w:rPr>
              <w:t>3類医薬品としてOTC薬としても販売されている</w:t>
            </w:r>
          </w:p>
          <w:p w14:paraId="511AF564" w14:textId="77777777" w:rsidR="005631BF" w:rsidRDefault="005631BF" w:rsidP="005631BF">
            <w:pPr>
              <w:jc w:val="left"/>
              <w:rPr>
                <w:rFonts w:ascii="HG丸ｺﾞｼｯｸM-PRO" w:eastAsia="HG丸ｺﾞｼｯｸM-PRO" w:hAnsi="HG丸ｺﾞｼｯｸM-PRO"/>
                <w:sz w:val="24"/>
              </w:rPr>
            </w:pPr>
          </w:p>
          <w:p w14:paraId="7691F7B2" w14:textId="77777777" w:rsidR="005631BF" w:rsidRDefault="005631BF" w:rsidP="005631BF">
            <w:pPr>
              <w:jc w:val="left"/>
              <w:rPr>
                <w:rFonts w:ascii="HG丸ｺﾞｼｯｸM-PRO" w:eastAsia="HG丸ｺﾞｼｯｸM-PRO" w:hAnsi="HG丸ｺﾞｼｯｸM-PRO"/>
                <w:sz w:val="24"/>
              </w:rPr>
            </w:pPr>
          </w:p>
          <w:p w14:paraId="41091CC5" w14:textId="77777777" w:rsidR="001D7A43" w:rsidRDefault="001D7A43" w:rsidP="005631BF">
            <w:pPr>
              <w:jc w:val="left"/>
              <w:rPr>
                <w:rFonts w:ascii="HG丸ｺﾞｼｯｸM-PRO" w:eastAsia="HG丸ｺﾞｼｯｸM-PRO" w:hAnsi="HG丸ｺﾞｼｯｸM-PRO" w:hint="eastAsia"/>
                <w:sz w:val="24"/>
              </w:rPr>
            </w:pPr>
          </w:p>
          <w:p w14:paraId="6F61E99B" w14:textId="5C4E704D" w:rsidR="005631BF" w:rsidRPr="00C35691" w:rsidRDefault="005631BF" w:rsidP="005631BF">
            <w:pPr>
              <w:jc w:val="left"/>
              <w:rPr>
                <w:rFonts w:ascii="HG丸ｺﾞｼｯｸM-PRO" w:eastAsia="HG丸ｺﾞｼｯｸM-PRO" w:hAnsi="HG丸ｺﾞｼｯｸM-PRO"/>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51581B75">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D7A43"/>
    <w:rsid w:val="002A014B"/>
    <w:rsid w:val="002C48FB"/>
    <w:rsid w:val="002E32E1"/>
    <w:rsid w:val="003B1EC6"/>
    <w:rsid w:val="003C111F"/>
    <w:rsid w:val="003D1D8D"/>
    <w:rsid w:val="003D78AC"/>
    <w:rsid w:val="005631BF"/>
    <w:rsid w:val="005D6B62"/>
    <w:rsid w:val="006C2CC6"/>
    <w:rsid w:val="00794740"/>
    <w:rsid w:val="007A7A8A"/>
    <w:rsid w:val="0081179E"/>
    <w:rsid w:val="00893E47"/>
    <w:rsid w:val="00900A36"/>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23</cp:revision>
  <dcterms:created xsi:type="dcterms:W3CDTF">2024-05-03T09:52:00Z</dcterms:created>
  <dcterms:modified xsi:type="dcterms:W3CDTF">2024-12-08T07:32:00Z</dcterms:modified>
</cp:coreProperties>
</file>