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120" w:before="240" w:lineRule="auto"/>
        <w:jc w:val="center"/>
        <w:rPr>
          <w:rFonts w:ascii="Verdana" w:cs="Verdana" w:eastAsia="Verdana" w:hAnsi="Verdana"/>
          <w:b w:val="0"/>
          <w:i w:val="0"/>
          <w:smallCaps w:val="0"/>
          <w:color w:val="000000"/>
          <w:sz w:val="21"/>
          <w:szCs w:val="21"/>
          <w:vertAlign w:val="baseline"/>
        </w:rPr>
      </w:pPr>
      <w:r w:rsidDel="00000000" w:rsidR="00000000" w:rsidRPr="00000000">
        <w:rPr>
          <w:rtl w:val="0"/>
        </w:rPr>
        <w:t xml:space="preserve">Sample pharmacometric Report with images and tables</w:t>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1"/>
        <w:keepNext w:val="1"/>
        <w:numPr>
          <w:ilvl w:val="0"/>
          <w:numId w:val="1"/>
        </w:numPr>
        <w:spacing w:after="120" w:before="240" w:lineRule="auto"/>
        <w:ind w:left="0" w:right="0" w:firstLine="360"/>
        <w:rPr>
          <w:rFonts w:ascii="Verdana" w:cs="Verdana" w:eastAsia="Verdana" w:hAnsi="Verdana"/>
          <w:b w:val="0"/>
          <w:i w:val="0"/>
          <w:smallCaps w:val="0"/>
          <w:color w:val="000000"/>
          <w:sz w:val="21"/>
          <w:szCs w:val="21"/>
        </w:rPr>
      </w:pPr>
      <w:r w:rsidDel="00000000" w:rsidR="00000000" w:rsidRPr="00000000">
        <w:rPr>
          <w:rtl w:val="0"/>
        </w:rPr>
        <w:t xml:space="preserve">Introduction</w:t>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5">
      <w:pPr>
        <w:widowControl w:val="1"/>
        <w:pBdr>
          <w:top w:color="auto" w:space="0" w:sz="0" w:val="none"/>
          <w:left w:color="auto" w:space="0" w:sz="0" w:val="none"/>
          <w:bottom w:color="auto" w:space="0" w:sz="0" w:val="none"/>
          <w:right w:color="auto" w:space="0" w:sz="0" w:val="none"/>
        </w:pBdr>
        <w:spacing w:after="240" w:before="240" w:line="288" w:lineRule="auto"/>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The significance of targeting KRAS lies in its central role in the RAS signaling pathway, which is critical for cell proliferation and survival. Despite advancements in cancer therapeutics, KRAS mutations have historically been associated with poor prognosis and limited treatment options. WMORE aims to address this unmet medical need by offering a targeted approach that not only enhances the efficacy of treatment but also minimizes adverse effects. The emergence of targeted therapies has revolutionized cancer treatment, particularly in challenging cases involving mutations in oncogenes such as KRAS. WMORE is a novel pharmacological agent designed specifically to inhibit the KRAS mutation, which is prevalent in various malignancies, including pancreatic, colorectal, and lung cancers. This report presents a comprehensive pharmacometric analysis of WMORE, focusing on its pharmacokinetics (PK) and pharmacodynamics (PD) in both adult and pediatric populations.</w:t>
      </w:r>
    </w:p>
    <w:p w:rsidR="00000000" w:rsidDel="00000000" w:rsidP="00000000" w:rsidRDefault="00000000" w:rsidRPr="00000000" w14:paraId="00000006">
      <w:pPr>
        <w:widowControl w:val="1"/>
        <w:pBdr>
          <w:top w:color="auto" w:space="0" w:sz="0" w:val="none"/>
          <w:left w:color="auto" w:space="0" w:sz="0" w:val="none"/>
          <w:bottom w:color="auto" w:space="0" w:sz="0" w:val="none"/>
          <w:right w:color="auto" w:space="0" w:sz="0" w:val="none"/>
        </w:pBdr>
        <w:spacing w:after="240" w:before="240" w:line="288" w:lineRule="auto"/>
        <w:jc w:val="both"/>
        <w:rPr>
          <w:rFonts w:ascii="Verdana" w:cs="Verdana" w:eastAsia="Verdana" w:hAnsi="Verdana"/>
          <w:sz w:val="21"/>
          <w:szCs w:val="21"/>
        </w:rPr>
      </w:pPr>
      <w:r w:rsidDel="00000000" w:rsidR="00000000" w:rsidRPr="00000000">
        <w:rPr>
          <w:rtl w:val="0"/>
        </w:rPr>
      </w:r>
    </w:p>
    <w:p w:rsidR="00000000" w:rsidDel="00000000" w:rsidP="00000000" w:rsidRDefault="00000000" w:rsidRPr="00000000" w14:paraId="00000007">
      <w:pPr>
        <w:widowControl w:val="1"/>
        <w:pBdr>
          <w:top w:color="auto" w:space="0" w:sz="0" w:val="none"/>
          <w:left w:color="auto" w:space="0" w:sz="0" w:val="none"/>
          <w:bottom w:color="auto" w:space="0" w:sz="0" w:val="none"/>
          <w:right w:color="auto" w:space="0" w:sz="0" w:val="none"/>
        </w:pBdr>
        <w:spacing w:after="240" w:before="240" w:line="288" w:lineRule="auto"/>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This report will detail the pharmacometric modeling conducted to evaluate WMORE's absorption, distribution, metabolism, and excretion (ADME) characteristics, alongside its therapeutic effects across different age groups. By leveraging advanced pharmacometric techniques, we aim to elucidate the drug's potential to improve patient outcomes and inform dosing strategies that ensure safety and effectiveness for both adults and children.</w:t>
      </w:r>
    </w:p>
    <w:p w:rsidR="00000000" w:rsidDel="00000000" w:rsidP="00000000" w:rsidRDefault="00000000" w:rsidRPr="00000000" w14:paraId="00000008">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1"/>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Maecenas mauris lectus, lobortis et purus mattis, blandit dictum tellus.</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2"/>
        </w:numPr>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720" w:right="0" w:hanging="360"/>
        <w:jc w:val="both"/>
        <w:rPr>
          <w:b w:val="0"/>
          <w:i w:val="1"/>
          <w:smallCaps w:val="0"/>
          <w:strike w:val="0"/>
          <w:color w:val="000000"/>
          <w:sz w:val="21"/>
          <w:szCs w:val="21"/>
          <w:u w:val="none"/>
          <w:shd w:fill="auto" w:val="clear"/>
        </w:rPr>
      </w:pP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Maecenas non lorem quis tellus placerat varius. </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2"/>
        </w:numPr>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720" w:right="0" w:hanging="360"/>
        <w:jc w:val="both"/>
        <w:rPr>
          <w:b w:val="0"/>
          <w:i w:val="0"/>
          <w:smallCaps w:val="0"/>
          <w:strike w:val="0"/>
          <w:color w:val="000000"/>
          <w:sz w:val="21"/>
          <w:szCs w:val="21"/>
          <w:u w:val="single"/>
          <w:shd w:fill="auto" w:val="clear"/>
        </w:rPr>
      </w:pPr>
      <w:r w:rsidDel="00000000" w:rsidR="00000000" w:rsidRPr="00000000">
        <w:rPr>
          <w:rFonts w:ascii="Verdana" w:cs="Verdana" w:eastAsia="Verdana" w:hAnsi="Verdana"/>
          <w:b w:val="0"/>
          <w:i w:val="1"/>
          <w:smallCaps w:val="0"/>
          <w:strike w:val="0"/>
          <w:color w:val="000000"/>
          <w:sz w:val="21"/>
          <w:szCs w:val="21"/>
          <w:u w:val="none"/>
          <w:shd w:fill="auto" w:val="clear"/>
          <w:vertAlign w:val="baseline"/>
          <w:rtl w:val="0"/>
        </w:rPr>
        <w:t xml:space="preserve">Nulla facilisi. </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2"/>
        </w:numPr>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720" w:right="0" w:hanging="360"/>
        <w:jc w:val="both"/>
        <w:rPr>
          <w:b w:val="0"/>
          <w:i w:val="0"/>
          <w:smallCaps w:val="0"/>
          <w:strike w:val="0"/>
          <w:color w:val="000000"/>
          <w:sz w:val="24"/>
          <w:szCs w:val="24"/>
          <w:u w:val="none"/>
          <w:shd w:fill="auto" w:val="clear"/>
        </w:rPr>
      </w:pPr>
      <w:r w:rsidDel="00000000" w:rsidR="00000000" w:rsidRPr="00000000">
        <w:rPr>
          <w:rFonts w:ascii="Verdana" w:cs="Verdana" w:eastAsia="Verdana" w:hAnsi="Verdana"/>
          <w:b w:val="0"/>
          <w:i w:val="0"/>
          <w:smallCaps w:val="0"/>
          <w:strike w:val="0"/>
          <w:color w:val="000000"/>
          <w:sz w:val="21"/>
          <w:szCs w:val="21"/>
          <w:u w:val="single"/>
          <w:shd w:fill="auto" w:val="clear"/>
          <w:vertAlign w:val="baseline"/>
          <w:rtl w:val="0"/>
        </w:rPr>
        <w:t xml:space="preserve">Aenean congue fringilla justo ut aliquam. </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720" w:right="0" w:hanging="360"/>
        <w:jc w:val="both"/>
        <w:rPr>
          <w:b w:val="0"/>
          <w:i w:val="0"/>
          <w:smallCaps w:val="0"/>
          <w:strike w:val="0"/>
          <w:color w:val="000000"/>
          <w:sz w:val="21"/>
          <w:szCs w:val="21"/>
          <w:u w:val="none"/>
          <w:shd w:fill="auto" w:val="clear"/>
        </w:rPr>
      </w:pPr>
      <w:hyperlink r:id="rId6">
        <w:r w:rsidDel="00000000" w:rsidR="00000000" w:rsidRPr="00000000">
          <w:rPr>
            <w:rFonts w:ascii="Verdana" w:cs="Verdana" w:eastAsia="Verdana" w:hAnsi="Verdana"/>
            <w:b w:val="0"/>
            <w:i w:val="0"/>
            <w:smallCaps w:val="0"/>
            <w:strike w:val="0"/>
            <w:color w:val="000000"/>
            <w:sz w:val="21"/>
            <w:szCs w:val="21"/>
            <w:u w:val="single"/>
            <w:shd w:fill="auto" w:val="clear"/>
            <w:vertAlign w:val="baseline"/>
            <w:rtl w:val="0"/>
          </w:rPr>
          <w:t xml:space="preserve">Mauris id ex erat. </w:t>
        </w:r>
      </w:hyperlink>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Nunc vulputate neque vitae justo facilisis, non condimentum ante sagittis. </w:t>
      </w:r>
    </w:p>
    <w:p w:rsidR="00000000" w:rsidDel="00000000" w:rsidP="00000000" w:rsidRDefault="00000000" w:rsidRPr="00000000" w14:paraId="0000000D">
      <w:pPr>
        <w:keepNext w:val="0"/>
        <w:keepLines w:val="0"/>
        <w:pageBreakBefore w:val="0"/>
        <w:widowControl w:val="1"/>
        <w:numPr>
          <w:ilvl w:val="0"/>
          <w:numId w:val="2"/>
        </w:numPr>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720" w:right="0" w:hanging="360"/>
        <w:jc w:val="both"/>
        <w:rPr>
          <w:b w:val="0"/>
          <w:i w:val="0"/>
          <w:smallCaps w:val="0"/>
          <w:strike w:val="0"/>
          <w:color w:val="000000"/>
          <w:sz w:val="21"/>
          <w:szCs w:val="21"/>
          <w:u w:val="none"/>
          <w:shd w:fill="auto" w:val="clear"/>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Morbi viverra semper lorem nec molestie. </w:t>
      </w:r>
    </w:p>
    <w:p w:rsidR="00000000" w:rsidDel="00000000" w:rsidP="00000000" w:rsidRDefault="00000000" w:rsidRPr="00000000" w14:paraId="0000000E">
      <w:pPr>
        <w:keepNext w:val="0"/>
        <w:keepLines w:val="0"/>
        <w:pageBreakBefore w:val="0"/>
        <w:widowControl w:val="1"/>
        <w:numPr>
          <w:ilvl w:val="0"/>
          <w:numId w:val="2"/>
        </w:numPr>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720" w:right="0" w:hanging="360"/>
        <w:jc w:val="both"/>
        <w:rPr>
          <w:b w:val="0"/>
          <w:i w:val="0"/>
          <w:smallCaps w:val="0"/>
          <w:strike w:val="0"/>
          <w:color w:val="000000"/>
          <w:sz w:val="24"/>
          <w:szCs w:val="24"/>
          <w:u w:val="none"/>
          <w:shd w:fill="auto" w:val="clear"/>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Maecenas tincidunt est efficitur ligula euismod, sit amet ornare est vulputate.</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1219200</wp:posOffset>
            </wp:positionH>
            <wp:positionV relativeFrom="paragraph">
              <wp:posOffset>0</wp:posOffset>
            </wp:positionV>
            <wp:extent cx="4099560" cy="205994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99560" cy="2059940"/>
                    </a:xfrm>
                    <a:prstGeom prst="rect"/>
                    <a:ln/>
                  </pic:spPr>
                </pic:pic>
              </a:graphicData>
            </a:graphic>
          </wp:anchor>
        </w:drawing>
      </w:r>
    </w:p>
    <w:p w:rsidR="00000000" w:rsidDel="00000000" w:rsidP="00000000" w:rsidRDefault="00000000" w:rsidRPr="00000000" w14:paraId="00000012">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In non mauris justo. Duis vehicula mi vel mi pretium, a viverra erat efficitur. Cras aliquam est ac eros varius, id iaculis dui auctor. Duis pretium neque ligula, et pulvinar mi placerat et. Nulla nec nunc sit amet nunc posuere vestibulum. Ut id neque eget tortor mattis tristique. Donec hans ante est, blandit sit amet vel, lacinia pulvinar arcu. Pellentesque scelerisque fermentum erat, id posuere justo pulvinar ut. Cras id sed enim aliquam lobortis. Sed lobortis nisl ut eros efficitur tincidunt. Cras justo mi, porttitor quis mattis vel, </w:t>
      </w:r>
    </w:p>
    <w:p w:rsidR="00000000" w:rsidDel="00000000" w:rsidP="00000000" w:rsidRDefault="00000000" w:rsidRPr="00000000" w14:paraId="00000019">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sz w:val="21"/>
          <w:szCs w:val="21"/>
          <w:rtl w:val="0"/>
        </w:rPr>
        <w:t xml:space="preserve">Sample table</w:t>
      </w:r>
      <w:r w:rsidDel="00000000" w:rsidR="00000000" w:rsidRPr="00000000">
        <w:rPr>
          <w:rtl w:val="0"/>
        </w:rPr>
      </w:r>
    </w:p>
    <w:tbl>
      <w:tblPr>
        <w:tblStyle w:val="Table1"/>
        <w:tblW w:w="9645.0" w:type="dxa"/>
        <w:jc w:val="left"/>
        <w:tblInd w:w="-55.0" w:type="dxa"/>
        <w:tblLayout w:type="fixed"/>
        <w:tblLook w:val="0000"/>
      </w:tblPr>
      <w:tblGrid>
        <w:gridCol w:w="720"/>
        <w:gridCol w:w="5670"/>
        <w:gridCol w:w="1560"/>
        <w:gridCol w:w="1695"/>
        <w:tblGridChange w:id="0">
          <w:tblGrid>
            <w:gridCol w:w="720"/>
            <w:gridCol w:w="5670"/>
            <w:gridCol w:w="1560"/>
            <w:gridCol w:w="1695"/>
          </w:tblGrid>
        </w:tblGridChange>
      </w:tblGrid>
      <w:tr>
        <w:trPr>
          <w:cantSplit w:val="0"/>
          <w:trHeight w:val="450" w:hRule="atLeast"/>
          <w:tblHeader w:val="0"/>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1A">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1B">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sz w:val="21"/>
                <w:szCs w:val="21"/>
                <w:rtl w:val="0"/>
              </w:rPr>
              <w:t xml:space="preserve">Parameter</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Lorem ipsum</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Lorem ipsum</w:t>
            </w: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1</w:t>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1F">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sz w:val="21"/>
                <w:szCs w:val="21"/>
                <w:rtl w:val="0"/>
              </w:rPr>
              <w:t xml:space="preserve">AUC</w:t>
            </w:r>
            <w:r w:rsidDel="00000000" w:rsidR="00000000" w:rsidRPr="00000000">
              <w:rPr>
                <w:rtl w:val="0"/>
              </w:rPr>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Lorem</w:t>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sz w:val="21"/>
                <w:szCs w:val="21"/>
                <w:rtl w:val="0"/>
              </w:rPr>
              <w:t xml:space="preserve">6</w:t>
            </w: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2</w:t>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23">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sz w:val="21"/>
                <w:szCs w:val="21"/>
                <w:rtl w:val="0"/>
              </w:rPr>
              <w:t xml:space="preserve">Cmax</w:t>
            </w:r>
            <w:r w:rsidDel="00000000" w:rsidR="00000000" w:rsidRPr="00000000">
              <w:rPr>
                <w:rtl w:val="0"/>
              </w:rPr>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Ipsum</w:t>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sz w:val="21"/>
                <w:szCs w:val="21"/>
                <w:rtl w:val="0"/>
              </w:rPr>
              <w:t xml:space="preserve">12.8</w:t>
            </w: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3</w:t>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27">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sz w:val="21"/>
                <w:szCs w:val="21"/>
                <w:rtl w:val="0"/>
              </w:rPr>
              <w:t xml:space="preserve">Tmax</w:t>
            </w:r>
            <w:r w:rsidDel="00000000" w:rsidR="00000000" w:rsidRPr="00000000">
              <w:rPr>
                <w:rtl w:val="0"/>
              </w:rPr>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Lorem</w:t>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sz w:val="21"/>
                <w:szCs w:val="21"/>
                <w:rtl w:val="0"/>
              </w:rPr>
              <w:t xml:space="preserve">0.1</w:t>
            </w: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4</w:t>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2B">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Fusce vitae vestibulum velit. </w:t>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Lorem</w:t>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5</w:t>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2F">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Etiam vehicula luctus fermentum.</w:t>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Ipsum</w:t>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tc>
      </w:tr>
    </w:tbl>
    <w:p w:rsidR="00000000" w:rsidDel="00000000" w:rsidP="00000000" w:rsidRDefault="00000000" w:rsidRPr="00000000" w14:paraId="00000032">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1"/>
          <w:sz w:val="46"/>
          <w:szCs w:val="46"/>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w:t>
      </w:r>
      <w:r w:rsidDel="00000000" w:rsidR="00000000" w:rsidRPr="00000000">
        <w:rPr>
          <w:rFonts w:ascii="Verdana" w:cs="Verdana" w:eastAsia="Verdana" w:hAnsi="Verdana"/>
          <w:b w:val="1"/>
          <w:sz w:val="46"/>
          <w:szCs w:val="46"/>
          <w:rtl w:val="0"/>
        </w:rPr>
        <w:t xml:space="preserve">Methods</w:t>
      </w:r>
    </w:p>
    <w:p w:rsidR="00000000" w:rsidDel="00000000" w:rsidP="00000000" w:rsidRDefault="00000000" w:rsidRPr="00000000" w14:paraId="00000034">
      <w:pPr>
        <w:pStyle w:val="Heading2"/>
        <w:keepNext w:val="0"/>
        <w:widowControl w:val="1"/>
        <w:pBdr>
          <w:top w:color="auto" w:space="0" w:sz="0" w:val="none"/>
          <w:left w:color="auto" w:space="0" w:sz="0" w:val="none"/>
          <w:bottom w:color="auto" w:space="0" w:sz="0" w:val="none"/>
          <w:right w:color="auto" w:space="0" w:sz="0" w:val="none"/>
        </w:pBdr>
        <w:spacing w:after="80" w:before="360" w:line="288" w:lineRule="auto"/>
        <w:ind w:left="0" w:firstLine="0"/>
        <w:jc w:val="both"/>
        <w:rPr>
          <w:rFonts w:ascii="Verdana" w:cs="Verdana" w:eastAsia="Verdana" w:hAnsi="Verdana"/>
          <w:sz w:val="34"/>
          <w:szCs w:val="34"/>
        </w:rPr>
      </w:pPr>
      <w:bookmarkStart w:colFirst="0" w:colLast="0" w:name="_hpv7y0cz49a2" w:id="0"/>
      <w:bookmarkEnd w:id="0"/>
      <w:r w:rsidDel="00000000" w:rsidR="00000000" w:rsidRPr="00000000">
        <w:rPr>
          <w:rFonts w:ascii="Verdana" w:cs="Verdana" w:eastAsia="Verdana" w:hAnsi="Verdana"/>
          <w:sz w:val="34"/>
          <w:szCs w:val="34"/>
          <w:rtl w:val="0"/>
        </w:rPr>
        <w:t xml:space="preserve">Clinical </w:t>
      </w:r>
      <w:r w:rsidDel="00000000" w:rsidR="00000000" w:rsidRPr="00000000">
        <w:rPr>
          <w:rFonts w:ascii="Verdana" w:cs="Verdana" w:eastAsia="Verdana" w:hAnsi="Verdana"/>
          <w:sz w:val="34"/>
          <w:szCs w:val="34"/>
          <w:rtl w:val="0"/>
        </w:rPr>
        <w:t xml:space="preserve">Study Design </w:t>
      </w:r>
    </w:p>
    <w:p w:rsidR="00000000" w:rsidDel="00000000" w:rsidP="00000000" w:rsidRDefault="00000000" w:rsidRPr="00000000" w14:paraId="00000035">
      <w:pPr>
        <w:widowControl w:val="1"/>
        <w:pBdr>
          <w:top w:color="auto" w:space="0" w:sz="0" w:val="none"/>
          <w:left w:color="auto" w:space="0" w:sz="0" w:val="none"/>
          <w:bottom w:color="auto" w:space="0" w:sz="0" w:val="none"/>
          <w:right w:color="auto" w:space="0" w:sz="0" w:val="none"/>
        </w:pBdr>
        <w:spacing w:after="240" w:before="240" w:line="288" w:lineRule="auto"/>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This pharmacometric analysis of WMORE was conducted using a population pharmacokinetic (PK) and pharmacodynamic (PD) modeling approach. The study included data from clinical trials involving adult and pediatric cancer patients with confirmed KRAS mutations.</w:t>
      </w:r>
    </w:p>
    <w:p w:rsidR="00000000" w:rsidDel="00000000" w:rsidP="00000000" w:rsidRDefault="00000000" w:rsidRPr="00000000" w14:paraId="00000036">
      <w:pPr>
        <w:pStyle w:val="Heading3"/>
        <w:keepNext w:val="0"/>
        <w:widowControl w:val="1"/>
        <w:pBdr>
          <w:top w:color="auto" w:space="0" w:sz="0" w:val="none"/>
          <w:left w:color="auto" w:space="0" w:sz="0" w:val="none"/>
          <w:bottom w:color="auto" w:space="0" w:sz="0" w:val="none"/>
          <w:right w:color="auto" w:space="0" w:sz="0" w:val="none"/>
        </w:pBdr>
        <w:spacing w:after="80" w:before="280" w:line="288" w:lineRule="auto"/>
        <w:ind w:left="0" w:firstLine="0"/>
        <w:jc w:val="both"/>
        <w:rPr>
          <w:rFonts w:ascii="Verdana" w:cs="Verdana" w:eastAsia="Verdana" w:hAnsi="Verdana"/>
          <w:color w:val="000000"/>
          <w:sz w:val="26"/>
          <w:szCs w:val="26"/>
        </w:rPr>
      </w:pPr>
      <w:bookmarkStart w:colFirst="0" w:colLast="0" w:name="_j4qf7u5hmldp" w:id="1"/>
      <w:bookmarkEnd w:id="1"/>
      <w:r w:rsidDel="00000000" w:rsidR="00000000" w:rsidRPr="00000000">
        <w:rPr>
          <w:rFonts w:ascii="Verdana" w:cs="Verdana" w:eastAsia="Verdana" w:hAnsi="Verdana"/>
          <w:color w:val="000000"/>
          <w:sz w:val="26"/>
          <w:szCs w:val="26"/>
          <w:rtl w:val="0"/>
        </w:rPr>
        <w:t xml:space="preserve">Population</w:t>
      </w:r>
    </w:p>
    <w:p w:rsidR="00000000" w:rsidDel="00000000" w:rsidP="00000000" w:rsidRDefault="00000000" w:rsidRPr="00000000" w14:paraId="00000037">
      <w:pPr>
        <w:widowControl w:val="1"/>
        <w:pBdr>
          <w:top w:color="auto" w:space="0" w:sz="0" w:val="none"/>
          <w:left w:color="auto" w:space="0" w:sz="0" w:val="none"/>
          <w:bottom w:color="auto" w:space="0" w:sz="0" w:val="none"/>
          <w:right w:color="auto" w:space="0" w:sz="0" w:val="none"/>
        </w:pBdr>
        <w:spacing w:after="240" w:before="240" w:line="288" w:lineRule="auto"/>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The study population consisted of:</w:t>
      </w:r>
    </w:p>
    <w:p w:rsidR="00000000" w:rsidDel="00000000" w:rsidP="00000000" w:rsidRDefault="00000000" w:rsidRPr="00000000" w14:paraId="00000038">
      <w:pPr>
        <w:widowControl w:val="1"/>
        <w:numPr>
          <w:ilvl w:val="0"/>
          <w:numId w:val="3"/>
        </w:numPr>
        <w:pBdr>
          <w:top w:color="auto" w:space="0" w:sz="0" w:val="none"/>
          <w:left w:color="auto" w:space="0" w:sz="0" w:val="none"/>
          <w:bottom w:color="auto" w:space="0" w:sz="0" w:val="none"/>
          <w:right w:color="auto" w:space="0" w:sz="0" w:val="none"/>
        </w:pBdr>
        <w:spacing w:after="0" w:afterAutospacing="0" w:before="240" w:line="288" w:lineRule="auto"/>
        <w:ind w:left="720" w:hanging="360"/>
        <w:rPr>
          <w:rFonts w:ascii="Verdana" w:cs="Verdana" w:eastAsia="Verdana" w:hAnsi="Verdana"/>
          <w:sz w:val="21"/>
          <w:szCs w:val="21"/>
        </w:rPr>
      </w:pPr>
      <w:r w:rsidDel="00000000" w:rsidR="00000000" w:rsidRPr="00000000">
        <w:rPr>
          <w:rFonts w:ascii="Verdana" w:cs="Verdana" w:eastAsia="Verdana" w:hAnsi="Verdana"/>
          <w:b w:val="1"/>
          <w:sz w:val="21"/>
          <w:szCs w:val="21"/>
          <w:rtl w:val="0"/>
        </w:rPr>
        <w:t xml:space="preserve">Adults:</w:t>
      </w:r>
      <w:r w:rsidDel="00000000" w:rsidR="00000000" w:rsidRPr="00000000">
        <w:rPr>
          <w:rFonts w:ascii="Verdana" w:cs="Verdana" w:eastAsia="Verdana" w:hAnsi="Verdana"/>
          <w:sz w:val="21"/>
          <w:szCs w:val="21"/>
          <w:rtl w:val="0"/>
        </w:rPr>
        <w:t xml:space="preserve"> 140 patients aged 18-85 years</w:t>
      </w:r>
    </w:p>
    <w:p w:rsidR="00000000" w:rsidDel="00000000" w:rsidP="00000000" w:rsidRDefault="00000000" w:rsidRPr="00000000" w14:paraId="00000039">
      <w:pPr>
        <w:widowControl w:val="1"/>
        <w:numPr>
          <w:ilvl w:val="0"/>
          <w:numId w:val="3"/>
        </w:numPr>
        <w:pBdr>
          <w:top w:color="auto" w:space="0" w:sz="0" w:val="none"/>
          <w:left w:color="auto" w:space="0" w:sz="0" w:val="none"/>
          <w:bottom w:color="auto" w:space="0" w:sz="0" w:val="none"/>
          <w:right w:color="auto" w:space="0" w:sz="0" w:val="none"/>
        </w:pBdr>
        <w:spacing w:after="240" w:before="0" w:beforeAutospacing="0" w:line="288" w:lineRule="auto"/>
        <w:ind w:left="720" w:hanging="360"/>
        <w:rPr>
          <w:rFonts w:ascii="Verdana" w:cs="Verdana" w:eastAsia="Verdana" w:hAnsi="Verdana"/>
          <w:sz w:val="21"/>
          <w:szCs w:val="21"/>
        </w:rPr>
      </w:pPr>
      <w:r w:rsidDel="00000000" w:rsidR="00000000" w:rsidRPr="00000000">
        <w:rPr>
          <w:rFonts w:ascii="Verdana" w:cs="Verdana" w:eastAsia="Verdana" w:hAnsi="Verdana"/>
          <w:b w:val="1"/>
          <w:sz w:val="21"/>
          <w:szCs w:val="21"/>
          <w:rtl w:val="0"/>
        </w:rPr>
        <w:t xml:space="preserve">Pediatrics:</w:t>
      </w:r>
      <w:r w:rsidDel="00000000" w:rsidR="00000000" w:rsidRPr="00000000">
        <w:rPr>
          <w:rFonts w:ascii="Verdana" w:cs="Verdana" w:eastAsia="Verdana" w:hAnsi="Verdana"/>
          <w:sz w:val="21"/>
          <w:szCs w:val="21"/>
          <w:rtl w:val="0"/>
        </w:rPr>
        <w:t xml:space="preserve"> 160 patients aged 4-17 years</w:t>
      </w:r>
    </w:p>
    <w:p w:rsidR="00000000" w:rsidDel="00000000" w:rsidP="00000000" w:rsidRDefault="00000000" w:rsidRPr="00000000" w14:paraId="0000003A">
      <w:pPr>
        <w:pStyle w:val="Heading3"/>
        <w:keepNext w:val="0"/>
        <w:widowControl w:val="1"/>
        <w:pBdr>
          <w:top w:color="auto" w:space="0" w:sz="0" w:val="none"/>
          <w:left w:color="auto" w:space="0" w:sz="0" w:val="none"/>
          <w:bottom w:color="auto" w:space="0" w:sz="0" w:val="none"/>
          <w:right w:color="auto" w:space="0" w:sz="0" w:val="none"/>
        </w:pBdr>
        <w:spacing w:after="80" w:before="280" w:line="288" w:lineRule="auto"/>
        <w:ind w:left="0" w:firstLine="0"/>
        <w:jc w:val="both"/>
        <w:rPr>
          <w:rFonts w:ascii="Verdana" w:cs="Verdana" w:eastAsia="Verdana" w:hAnsi="Verdana"/>
          <w:color w:val="000000"/>
          <w:sz w:val="26"/>
          <w:szCs w:val="26"/>
        </w:rPr>
      </w:pPr>
      <w:bookmarkStart w:colFirst="0" w:colLast="0" w:name="_s0480idybejr" w:id="2"/>
      <w:bookmarkEnd w:id="2"/>
      <w:r w:rsidDel="00000000" w:rsidR="00000000" w:rsidRPr="00000000">
        <w:rPr>
          <w:rFonts w:ascii="Verdana" w:cs="Verdana" w:eastAsia="Verdana" w:hAnsi="Verdana"/>
          <w:color w:val="000000"/>
          <w:sz w:val="26"/>
          <w:szCs w:val="26"/>
          <w:rtl w:val="0"/>
        </w:rPr>
        <w:t xml:space="preserve">Data Collection</w:t>
      </w:r>
    </w:p>
    <w:p w:rsidR="00000000" w:rsidDel="00000000" w:rsidP="00000000" w:rsidRDefault="00000000" w:rsidRPr="00000000" w14:paraId="0000003B">
      <w:pPr>
        <w:widowControl w:val="1"/>
        <w:pBdr>
          <w:top w:color="auto" w:space="0" w:sz="0" w:val="none"/>
          <w:left w:color="auto" w:space="0" w:sz="0" w:val="none"/>
          <w:bottom w:color="auto" w:space="0" w:sz="0" w:val="none"/>
          <w:right w:color="auto" w:space="0" w:sz="0" w:val="none"/>
        </w:pBdr>
        <w:spacing w:after="240" w:before="240" w:line="288" w:lineRule="auto"/>
        <w:jc w:val="both"/>
        <w:rPr>
          <w:rFonts w:ascii="Verdana" w:cs="Verdana" w:eastAsia="Verdana" w:hAnsi="Verdana"/>
          <w:color w:val="000000"/>
          <w:sz w:val="26"/>
          <w:szCs w:val="26"/>
        </w:rPr>
      </w:pPr>
      <w:r w:rsidDel="00000000" w:rsidR="00000000" w:rsidRPr="00000000">
        <w:rPr>
          <w:rFonts w:ascii="Verdana" w:cs="Verdana" w:eastAsia="Verdana" w:hAnsi="Verdana"/>
          <w:sz w:val="21"/>
          <w:szCs w:val="21"/>
          <w:rtl w:val="0"/>
        </w:rPr>
        <w:t xml:space="preserve">Data were collected from phase I and II clinical trials, encompassing demographic information, dosing regimens, serum concentrations of WMORE, and clinical outcomes.</w:t>
      </w:r>
      <w:r w:rsidDel="00000000" w:rsidR="00000000" w:rsidRPr="00000000">
        <w:rPr>
          <w:rFonts w:ascii="Verdana" w:cs="Verdana" w:eastAsia="Verdana" w:hAnsi="Verdana"/>
          <w:color w:val="000000"/>
          <w:sz w:val="26"/>
          <w:szCs w:val="26"/>
          <w:rtl w:val="0"/>
        </w:rPr>
        <w:t xml:space="preserve">Pharmacokinetic Modeling</w:t>
      </w:r>
    </w:p>
    <w:p w:rsidR="00000000" w:rsidDel="00000000" w:rsidP="00000000" w:rsidRDefault="00000000" w:rsidRPr="00000000" w14:paraId="0000003C">
      <w:pPr>
        <w:widowControl w:val="1"/>
        <w:pBdr>
          <w:top w:color="auto" w:space="0" w:sz="0" w:val="none"/>
          <w:left w:color="auto" w:space="0" w:sz="0" w:val="none"/>
          <w:bottom w:color="auto" w:space="0" w:sz="0" w:val="none"/>
          <w:right w:color="auto" w:space="0" w:sz="0" w:val="none"/>
        </w:pBdr>
        <w:spacing w:after="240" w:before="240" w:line="288" w:lineRule="auto"/>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PK data were analyzed using nonlinear mixed-effects modeling (NONMEM). The following parameters were estimated:</w:t>
      </w:r>
    </w:p>
    <w:p w:rsidR="00000000" w:rsidDel="00000000" w:rsidP="00000000" w:rsidRDefault="00000000" w:rsidRPr="00000000" w14:paraId="0000003D">
      <w:pPr>
        <w:widowControl w:val="1"/>
        <w:numPr>
          <w:ilvl w:val="0"/>
          <w:numId w:val="5"/>
        </w:numPr>
        <w:pBdr>
          <w:top w:color="auto" w:space="0" w:sz="0" w:val="none"/>
          <w:left w:color="auto" w:space="0" w:sz="0" w:val="none"/>
          <w:bottom w:color="auto" w:space="0" w:sz="0" w:val="none"/>
          <w:right w:color="auto" w:space="0" w:sz="0" w:val="none"/>
        </w:pBdr>
        <w:spacing w:after="0" w:afterAutospacing="0" w:before="240" w:line="288" w:lineRule="auto"/>
        <w:ind w:left="720" w:hanging="360"/>
        <w:rPr>
          <w:rFonts w:ascii="Verdana" w:cs="Verdana" w:eastAsia="Verdana" w:hAnsi="Verdana"/>
          <w:sz w:val="21"/>
          <w:szCs w:val="21"/>
        </w:rPr>
      </w:pPr>
      <w:r w:rsidDel="00000000" w:rsidR="00000000" w:rsidRPr="00000000">
        <w:rPr>
          <w:rFonts w:ascii="Verdana" w:cs="Verdana" w:eastAsia="Verdana" w:hAnsi="Verdana"/>
          <w:b w:val="1"/>
          <w:sz w:val="21"/>
          <w:szCs w:val="21"/>
          <w:rtl w:val="0"/>
        </w:rPr>
        <w:t xml:space="preserve">Volume of Distribution (Vd)</w:t>
      </w:r>
    </w:p>
    <w:p w:rsidR="00000000" w:rsidDel="00000000" w:rsidP="00000000" w:rsidRDefault="00000000" w:rsidRPr="00000000" w14:paraId="0000003E">
      <w:pPr>
        <w:widowControl w:val="1"/>
        <w:numPr>
          <w:ilvl w:val="0"/>
          <w:numId w:val="5"/>
        </w:numPr>
        <w:pBdr>
          <w:top w:color="auto" w:space="0" w:sz="0" w:val="none"/>
          <w:left w:color="auto" w:space="0" w:sz="0" w:val="none"/>
          <w:bottom w:color="auto" w:space="0" w:sz="0" w:val="none"/>
          <w:right w:color="auto" w:space="0" w:sz="0" w:val="none"/>
        </w:pBdr>
        <w:spacing w:after="0" w:afterAutospacing="0" w:before="0" w:beforeAutospacing="0" w:line="288" w:lineRule="auto"/>
        <w:ind w:left="720" w:hanging="360"/>
        <w:rPr>
          <w:rFonts w:ascii="Verdana" w:cs="Verdana" w:eastAsia="Verdana" w:hAnsi="Verdana"/>
          <w:sz w:val="21"/>
          <w:szCs w:val="21"/>
        </w:rPr>
      </w:pPr>
      <w:r w:rsidDel="00000000" w:rsidR="00000000" w:rsidRPr="00000000">
        <w:rPr>
          <w:rFonts w:ascii="Verdana" w:cs="Verdana" w:eastAsia="Verdana" w:hAnsi="Verdana"/>
          <w:b w:val="1"/>
          <w:sz w:val="21"/>
          <w:szCs w:val="21"/>
          <w:rtl w:val="0"/>
        </w:rPr>
        <w:t xml:space="preserve">Clearance (CL)</w:t>
      </w:r>
    </w:p>
    <w:p w:rsidR="00000000" w:rsidDel="00000000" w:rsidP="00000000" w:rsidRDefault="00000000" w:rsidRPr="00000000" w14:paraId="0000003F">
      <w:pPr>
        <w:widowControl w:val="1"/>
        <w:numPr>
          <w:ilvl w:val="0"/>
          <w:numId w:val="5"/>
        </w:numPr>
        <w:pBdr>
          <w:top w:color="auto" w:space="0" w:sz="0" w:val="none"/>
          <w:left w:color="auto" w:space="0" w:sz="0" w:val="none"/>
          <w:bottom w:color="auto" w:space="0" w:sz="0" w:val="none"/>
          <w:right w:color="auto" w:space="0" w:sz="0" w:val="none"/>
        </w:pBdr>
        <w:spacing w:after="240" w:before="0" w:beforeAutospacing="0" w:line="288" w:lineRule="auto"/>
        <w:ind w:left="720" w:hanging="360"/>
        <w:rPr>
          <w:rFonts w:ascii="Verdana" w:cs="Verdana" w:eastAsia="Verdana" w:hAnsi="Verdana"/>
          <w:sz w:val="21"/>
          <w:szCs w:val="21"/>
        </w:rPr>
      </w:pPr>
      <w:r w:rsidDel="00000000" w:rsidR="00000000" w:rsidRPr="00000000">
        <w:rPr>
          <w:rFonts w:ascii="Verdana" w:cs="Verdana" w:eastAsia="Verdana" w:hAnsi="Verdana"/>
          <w:b w:val="1"/>
          <w:sz w:val="21"/>
          <w:szCs w:val="21"/>
          <w:rtl w:val="0"/>
        </w:rPr>
        <w:t xml:space="preserve">Half-Life (t1/2)</w:t>
      </w:r>
    </w:p>
    <w:p w:rsidR="00000000" w:rsidDel="00000000" w:rsidP="00000000" w:rsidRDefault="00000000" w:rsidRPr="00000000" w14:paraId="00000040">
      <w:pPr>
        <w:pStyle w:val="Heading3"/>
        <w:keepNext w:val="0"/>
        <w:widowControl w:val="1"/>
        <w:pBdr>
          <w:top w:color="auto" w:space="0" w:sz="0" w:val="none"/>
          <w:left w:color="auto" w:space="0" w:sz="0" w:val="none"/>
          <w:bottom w:color="auto" w:space="0" w:sz="0" w:val="none"/>
          <w:right w:color="auto" w:space="0" w:sz="0" w:val="none"/>
        </w:pBdr>
        <w:spacing w:after="80" w:before="280" w:line="288" w:lineRule="auto"/>
        <w:ind w:left="0" w:firstLine="0"/>
        <w:jc w:val="both"/>
        <w:rPr>
          <w:rFonts w:ascii="Verdana" w:cs="Verdana" w:eastAsia="Verdana" w:hAnsi="Verdana"/>
          <w:color w:val="000000"/>
          <w:sz w:val="26"/>
          <w:szCs w:val="26"/>
        </w:rPr>
      </w:pPr>
      <w:bookmarkStart w:colFirst="0" w:colLast="0" w:name="_v4uumutgbgu0" w:id="3"/>
      <w:bookmarkEnd w:id="3"/>
      <w:r w:rsidDel="00000000" w:rsidR="00000000" w:rsidRPr="00000000">
        <w:rPr>
          <w:rFonts w:ascii="Verdana" w:cs="Verdana" w:eastAsia="Verdana" w:hAnsi="Verdana"/>
          <w:color w:val="000000"/>
          <w:sz w:val="26"/>
          <w:szCs w:val="26"/>
          <w:rtl w:val="0"/>
        </w:rPr>
        <w:t xml:space="preserve">Pharmacodynamic Analysis</w:t>
      </w:r>
    </w:p>
    <w:p w:rsidR="00000000" w:rsidDel="00000000" w:rsidP="00000000" w:rsidRDefault="00000000" w:rsidRPr="00000000" w14:paraId="00000041">
      <w:pPr>
        <w:widowControl w:val="1"/>
        <w:pBdr>
          <w:top w:color="auto" w:space="0" w:sz="0" w:val="none"/>
          <w:left w:color="auto" w:space="0" w:sz="0" w:val="none"/>
          <w:bottom w:color="auto" w:space="0" w:sz="0" w:val="none"/>
          <w:right w:color="auto" w:space="0" w:sz="0" w:val="none"/>
        </w:pBdr>
        <w:spacing w:after="240" w:before="240" w:line="288" w:lineRule="auto"/>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The PD response was assessed through tumor size reduction measured by RECIST criteria. A logistic regression model was utilized to relate WMORE concentration to tumor response.</w:t>
      </w:r>
    </w:p>
    <w:p w:rsidR="00000000" w:rsidDel="00000000" w:rsidP="00000000" w:rsidRDefault="00000000" w:rsidRPr="00000000" w14:paraId="00000042">
      <w:pPr>
        <w:pStyle w:val="Heading1"/>
        <w:keepLines w:val="1"/>
        <w:widowControl w:val="1"/>
        <w:numPr>
          <w:ilvl w:val="0"/>
          <w:numId w:val="4"/>
        </w:numPr>
        <w:pBdr>
          <w:bottom w:color="000000" w:space="1" w:sz="4" w:val="single"/>
        </w:pBdr>
        <w:spacing w:after="0" w:before="480" w:lineRule="auto"/>
        <w:ind w:left="360" w:hanging="360"/>
        <w:rPr>
          <w:rFonts w:ascii="Calibri" w:cs="Calibri" w:eastAsia="Calibri" w:hAnsi="Calibri"/>
          <w:color w:val="000000"/>
          <w:sz w:val="32"/>
          <w:szCs w:val="32"/>
        </w:rPr>
      </w:pPr>
      <w:r w:rsidDel="00000000" w:rsidR="00000000" w:rsidRPr="00000000">
        <w:rPr>
          <w:rFonts w:ascii="Calibri" w:cs="Calibri" w:eastAsia="Calibri" w:hAnsi="Calibri"/>
          <w:sz w:val="32"/>
          <w:szCs w:val="32"/>
          <w:rtl w:val="0"/>
        </w:rPr>
        <w:t xml:space="preserve">Patient Demographics</w:t>
      </w:r>
    </w:p>
    <w:tbl>
      <w:tblPr>
        <w:tblStyle w:val="Table2"/>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212.6666666666665"/>
        <w:gridCol w:w="3212.6666666666665"/>
        <w:gridCol w:w="3212.6666666666665"/>
        <w:tblGridChange w:id="0">
          <w:tblGrid>
            <w:gridCol w:w="3212.6666666666665"/>
            <w:gridCol w:w="3212.6666666666665"/>
            <w:gridCol w:w="3212.6666666666665"/>
          </w:tblGrid>
        </w:tblGridChange>
      </w:tblGrid>
      <w:tr>
        <w:trPr>
          <w:cantSplit w:val="0"/>
          <w:tblHeader w:val="1"/>
        </w:trPr>
        <w:tc>
          <w:tcPr/>
          <w:p w:rsidR="00000000" w:rsidDel="00000000" w:rsidP="00000000" w:rsidRDefault="00000000" w:rsidRPr="00000000" w14:paraId="00000043">
            <w:pPr>
              <w:widowControl w:val="1"/>
              <w:rPr>
                <w:rFonts w:ascii="Cambria" w:cs="Cambria" w:eastAsia="Cambria" w:hAnsi="Cambria"/>
              </w:rPr>
            </w:pPr>
            <w:r w:rsidDel="00000000" w:rsidR="00000000" w:rsidRPr="00000000">
              <w:rPr>
                <w:rFonts w:ascii="Cambria" w:cs="Cambria" w:eastAsia="Cambria" w:hAnsi="Cambria"/>
                <w:rtl w:val="0"/>
              </w:rPr>
              <w:t xml:space="preserve">Parameter</w:t>
            </w:r>
          </w:p>
        </w:tc>
        <w:tc>
          <w:tcPr/>
          <w:p w:rsidR="00000000" w:rsidDel="00000000" w:rsidP="00000000" w:rsidRDefault="00000000" w:rsidRPr="00000000" w14:paraId="00000044">
            <w:pPr>
              <w:widowControl w:val="1"/>
              <w:rPr>
                <w:rFonts w:ascii="Cambria" w:cs="Cambria" w:eastAsia="Cambria" w:hAnsi="Cambria"/>
              </w:rPr>
            </w:pPr>
            <w:r w:rsidDel="00000000" w:rsidR="00000000" w:rsidRPr="00000000">
              <w:rPr>
                <w:rFonts w:ascii="Cambria" w:cs="Cambria" w:eastAsia="Cambria" w:hAnsi="Cambria"/>
                <w:rtl w:val="0"/>
              </w:rPr>
              <w:t xml:space="preserve">Adults</w:t>
            </w:r>
          </w:p>
        </w:tc>
        <w:tc>
          <w:tcPr/>
          <w:p w:rsidR="00000000" w:rsidDel="00000000" w:rsidP="00000000" w:rsidRDefault="00000000" w:rsidRPr="00000000" w14:paraId="00000045">
            <w:pPr>
              <w:widowControl w:val="1"/>
              <w:rPr>
                <w:rFonts w:ascii="Cambria" w:cs="Cambria" w:eastAsia="Cambria" w:hAnsi="Cambria"/>
              </w:rPr>
            </w:pPr>
            <w:r w:rsidDel="00000000" w:rsidR="00000000" w:rsidRPr="00000000">
              <w:rPr>
                <w:rFonts w:ascii="Cambria" w:cs="Cambria" w:eastAsia="Cambria" w:hAnsi="Cambria"/>
                <w:rtl w:val="0"/>
              </w:rPr>
              <w:t xml:space="preserve">Pediatrics</w:t>
            </w:r>
          </w:p>
        </w:tc>
      </w:tr>
      <w:tr>
        <w:trPr>
          <w:cantSplit w:val="0"/>
          <w:tblHeader w:val="0"/>
        </w:trPr>
        <w:tc>
          <w:tcPr/>
          <w:p w:rsidR="00000000" w:rsidDel="00000000" w:rsidP="00000000" w:rsidRDefault="00000000" w:rsidRPr="00000000" w14:paraId="00000046">
            <w:pPr>
              <w:widowControl w:val="1"/>
              <w:rPr>
                <w:rFonts w:ascii="Cambria" w:cs="Cambria" w:eastAsia="Cambria" w:hAnsi="Cambria"/>
              </w:rPr>
            </w:pPr>
            <w:r w:rsidDel="00000000" w:rsidR="00000000" w:rsidRPr="00000000">
              <w:rPr>
                <w:rFonts w:ascii="Cambria" w:cs="Cambria" w:eastAsia="Cambria" w:hAnsi="Cambria"/>
                <w:rtl w:val="0"/>
              </w:rPr>
              <w:t xml:space="preserve">Mean Age (years)</w:t>
            </w:r>
          </w:p>
        </w:tc>
        <w:tc>
          <w:tcPr/>
          <w:p w:rsidR="00000000" w:rsidDel="00000000" w:rsidP="00000000" w:rsidRDefault="00000000" w:rsidRPr="00000000" w14:paraId="00000047">
            <w:pPr>
              <w:widowControl w:val="1"/>
              <w:rPr>
                <w:rFonts w:ascii="Cambria" w:cs="Cambria" w:eastAsia="Cambria" w:hAnsi="Cambria"/>
              </w:rPr>
            </w:pPr>
            <w:r w:rsidDel="00000000" w:rsidR="00000000" w:rsidRPr="00000000">
              <w:rPr>
                <w:rFonts w:ascii="Cambria" w:cs="Cambria" w:eastAsia="Cambria" w:hAnsi="Cambria"/>
                <w:rtl w:val="0"/>
              </w:rPr>
              <w:t xml:space="preserve">60</w:t>
            </w:r>
          </w:p>
        </w:tc>
        <w:tc>
          <w:tcPr/>
          <w:p w:rsidR="00000000" w:rsidDel="00000000" w:rsidP="00000000" w:rsidRDefault="00000000" w:rsidRPr="00000000" w14:paraId="00000048">
            <w:pPr>
              <w:widowControl w:val="1"/>
              <w:rPr>
                <w:rFonts w:ascii="Cambria" w:cs="Cambria" w:eastAsia="Cambria" w:hAnsi="Cambria"/>
              </w:rPr>
            </w:pPr>
            <w:r w:rsidDel="00000000" w:rsidR="00000000" w:rsidRPr="00000000">
              <w:rPr>
                <w:rFonts w:ascii="Cambria" w:cs="Cambria" w:eastAsia="Cambria" w:hAnsi="Cambria"/>
                <w:rtl w:val="0"/>
              </w:rPr>
              <w:t xml:space="preserve">20</w:t>
            </w:r>
          </w:p>
        </w:tc>
      </w:tr>
      <w:tr>
        <w:trPr>
          <w:cantSplit w:val="0"/>
          <w:tblHeader w:val="0"/>
        </w:trPr>
        <w:tc>
          <w:tcPr/>
          <w:p w:rsidR="00000000" w:rsidDel="00000000" w:rsidP="00000000" w:rsidRDefault="00000000" w:rsidRPr="00000000" w14:paraId="00000049">
            <w:pPr>
              <w:widowControl w:val="1"/>
              <w:rPr>
                <w:rFonts w:ascii="Cambria" w:cs="Cambria" w:eastAsia="Cambria" w:hAnsi="Cambria"/>
              </w:rPr>
            </w:pPr>
            <w:r w:rsidDel="00000000" w:rsidR="00000000" w:rsidRPr="00000000">
              <w:rPr>
                <w:rFonts w:ascii="Cambria" w:cs="Cambria" w:eastAsia="Cambria" w:hAnsi="Cambria"/>
                <w:rtl w:val="0"/>
              </w:rPr>
              <w:t xml:space="preserve">Gender (M:F)</w:t>
            </w:r>
          </w:p>
        </w:tc>
        <w:tc>
          <w:tcPr/>
          <w:p w:rsidR="00000000" w:rsidDel="00000000" w:rsidP="00000000" w:rsidRDefault="00000000" w:rsidRPr="00000000" w14:paraId="0000004A">
            <w:pPr>
              <w:widowControl w:val="1"/>
              <w:rPr>
                <w:rFonts w:ascii="Cambria" w:cs="Cambria" w:eastAsia="Cambria" w:hAnsi="Cambria"/>
              </w:rPr>
            </w:pPr>
            <w:r w:rsidDel="00000000" w:rsidR="00000000" w:rsidRPr="00000000">
              <w:rPr>
                <w:rFonts w:ascii="Cambria" w:cs="Cambria" w:eastAsia="Cambria" w:hAnsi="Cambria"/>
                <w:rtl w:val="0"/>
              </w:rPr>
              <w:t xml:space="preserve">60:60</w:t>
            </w:r>
          </w:p>
        </w:tc>
        <w:tc>
          <w:tcPr/>
          <w:p w:rsidR="00000000" w:rsidDel="00000000" w:rsidP="00000000" w:rsidRDefault="00000000" w:rsidRPr="00000000" w14:paraId="0000004B">
            <w:pPr>
              <w:widowControl w:val="1"/>
              <w:rPr>
                <w:rFonts w:ascii="Cambria" w:cs="Cambria" w:eastAsia="Cambria" w:hAnsi="Cambria"/>
              </w:rPr>
            </w:pPr>
            <w:r w:rsidDel="00000000" w:rsidR="00000000" w:rsidRPr="00000000">
              <w:rPr>
                <w:rFonts w:ascii="Cambria" w:cs="Cambria" w:eastAsia="Cambria" w:hAnsi="Cambria"/>
                <w:rtl w:val="0"/>
              </w:rPr>
              <w:t xml:space="preserve">30:30</w:t>
            </w:r>
          </w:p>
        </w:tc>
      </w:tr>
      <w:tr>
        <w:trPr>
          <w:cantSplit w:val="0"/>
          <w:tblHeader w:val="0"/>
        </w:trPr>
        <w:tc>
          <w:tcPr/>
          <w:p w:rsidR="00000000" w:rsidDel="00000000" w:rsidP="00000000" w:rsidRDefault="00000000" w:rsidRPr="00000000" w14:paraId="0000004C">
            <w:pPr>
              <w:widowControl w:val="1"/>
              <w:rPr>
                <w:rFonts w:ascii="Cambria" w:cs="Cambria" w:eastAsia="Cambria" w:hAnsi="Cambria"/>
              </w:rPr>
            </w:pPr>
            <w:r w:rsidDel="00000000" w:rsidR="00000000" w:rsidRPr="00000000">
              <w:rPr>
                <w:rFonts w:ascii="Cambria" w:cs="Cambria" w:eastAsia="Cambria" w:hAnsi="Cambria"/>
                <w:rtl w:val="0"/>
              </w:rPr>
              <w:t xml:space="preserve">KRAS Mutation Type</w:t>
            </w:r>
          </w:p>
        </w:tc>
        <w:tc>
          <w:tcPr/>
          <w:p w:rsidR="00000000" w:rsidDel="00000000" w:rsidP="00000000" w:rsidRDefault="00000000" w:rsidRPr="00000000" w14:paraId="0000004D">
            <w:pPr>
              <w:widowControl w:val="1"/>
              <w:rPr>
                <w:rFonts w:ascii="Cambria" w:cs="Cambria" w:eastAsia="Cambria" w:hAnsi="Cambria"/>
              </w:rPr>
            </w:pPr>
            <w:r w:rsidDel="00000000" w:rsidR="00000000" w:rsidRPr="00000000">
              <w:rPr>
                <w:rFonts w:ascii="Cambria" w:cs="Cambria" w:eastAsia="Cambria" w:hAnsi="Cambria"/>
                <w:rtl w:val="0"/>
              </w:rPr>
              <w:t xml:space="preserve">G12D, G12V</w:t>
            </w:r>
          </w:p>
        </w:tc>
        <w:tc>
          <w:tcPr/>
          <w:p w:rsidR="00000000" w:rsidDel="00000000" w:rsidP="00000000" w:rsidRDefault="00000000" w:rsidRPr="00000000" w14:paraId="0000004E">
            <w:pPr>
              <w:widowControl w:val="1"/>
              <w:rPr>
                <w:rFonts w:ascii="Cambria" w:cs="Cambria" w:eastAsia="Cambria" w:hAnsi="Cambria"/>
              </w:rPr>
            </w:pPr>
            <w:r w:rsidDel="00000000" w:rsidR="00000000" w:rsidRPr="00000000">
              <w:rPr>
                <w:rFonts w:ascii="Cambria" w:cs="Cambria" w:eastAsia="Cambria" w:hAnsi="Cambria"/>
                <w:rtl w:val="0"/>
              </w:rPr>
              <w:t xml:space="preserve">G12D, G12C</w:t>
            </w:r>
          </w:p>
        </w:tc>
      </w:tr>
      <w:tr>
        <w:trPr>
          <w:cantSplit w:val="0"/>
          <w:tblHeader w:val="0"/>
        </w:trPr>
        <w:tc>
          <w:tcPr/>
          <w:p w:rsidR="00000000" w:rsidDel="00000000" w:rsidP="00000000" w:rsidRDefault="00000000" w:rsidRPr="00000000" w14:paraId="0000004F">
            <w:pPr>
              <w:widowControl w:val="1"/>
              <w:rPr>
                <w:rFonts w:ascii="Cambria" w:cs="Cambria" w:eastAsia="Cambria" w:hAnsi="Cambria"/>
              </w:rPr>
            </w:pPr>
            <w:r w:rsidDel="00000000" w:rsidR="00000000" w:rsidRPr="00000000">
              <w:rPr>
                <w:rFonts w:ascii="Cambria" w:cs="Cambria" w:eastAsia="Cambria" w:hAnsi="Cambria"/>
                <w:rtl w:val="0"/>
              </w:rPr>
              <w:t xml:space="preserve">Dosing Regimen</w:t>
            </w:r>
          </w:p>
        </w:tc>
        <w:tc>
          <w:tcPr/>
          <w:p w:rsidR="00000000" w:rsidDel="00000000" w:rsidP="00000000" w:rsidRDefault="00000000" w:rsidRPr="00000000" w14:paraId="00000050">
            <w:pPr>
              <w:widowControl w:val="1"/>
              <w:rPr>
                <w:rFonts w:ascii="Cambria" w:cs="Cambria" w:eastAsia="Cambria" w:hAnsi="Cambria"/>
              </w:rPr>
            </w:pPr>
            <w:r w:rsidDel="00000000" w:rsidR="00000000" w:rsidRPr="00000000">
              <w:rPr>
                <w:rFonts w:ascii="Cambria" w:cs="Cambria" w:eastAsia="Cambria" w:hAnsi="Cambria"/>
                <w:rtl w:val="0"/>
              </w:rPr>
              <w:t xml:space="preserve">100 mg QD</w:t>
            </w:r>
          </w:p>
        </w:tc>
        <w:tc>
          <w:tcPr/>
          <w:p w:rsidR="00000000" w:rsidDel="00000000" w:rsidP="00000000" w:rsidRDefault="00000000" w:rsidRPr="00000000" w14:paraId="00000051">
            <w:pPr>
              <w:widowControl w:val="1"/>
              <w:rPr>
                <w:rFonts w:ascii="Cambria" w:cs="Cambria" w:eastAsia="Cambria" w:hAnsi="Cambria"/>
              </w:rPr>
            </w:pPr>
            <w:r w:rsidDel="00000000" w:rsidR="00000000" w:rsidRPr="00000000">
              <w:rPr>
                <w:rFonts w:ascii="Cambria" w:cs="Cambria" w:eastAsia="Cambria" w:hAnsi="Cambria"/>
                <w:rtl w:val="0"/>
              </w:rPr>
              <w:t xml:space="preserve">50 mg QD</w:t>
            </w:r>
          </w:p>
        </w:tc>
      </w:tr>
    </w:tbl>
    <w:p w:rsidR="00000000" w:rsidDel="00000000" w:rsidP="00000000" w:rsidRDefault="00000000" w:rsidRPr="00000000" w14:paraId="00000052">
      <w:pPr>
        <w:pStyle w:val="Heading1"/>
        <w:keepLines w:val="1"/>
        <w:widowControl w:val="1"/>
        <w:numPr>
          <w:ilvl w:val="0"/>
          <w:numId w:val="4"/>
        </w:numPr>
        <w:pBdr>
          <w:bottom w:color="000000" w:space="1" w:sz="4" w:val="single"/>
        </w:pBdr>
        <w:spacing w:after="0" w:before="480" w:lineRule="auto"/>
        <w:ind w:left="360" w:hanging="360"/>
        <w:rPr>
          <w:rFonts w:ascii="Calibri" w:cs="Calibri" w:eastAsia="Calibri" w:hAnsi="Calibri"/>
          <w:color w:val="000000"/>
          <w:sz w:val="32"/>
          <w:szCs w:val="32"/>
        </w:rPr>
      </w:pPr>
      <w:bookmarkStart w:colFirst="0" w:colLast="0" w:name="_a2bejr1y47p6" w:id="4"/>
      <w:bookmarkEnd w:id="4"/>
      <w:r w:rsidDel="00000000" w:rsidR="00000000" w:rsidRPr="00000000">
        <w:rPr>
          <w:rFonts w:ascii="Calibri" w:cs="Calibri" w:eastAsia="Calibri" w:hAnsi="Calibri"/>
          <w:sz w:val="32"/>
          <w:szCs w:val="32"/>
          <w:rtl w:val="0"/>
        </w:rPr>
        <w:t xml:space="preserve">Pharmacokinetic Parameters</w:t>
      </w:r>
    </w:p>
    <w:tbl>
      <w:tblPr>
        <w:tblStyle w:val="Table3"/>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212.6666666666665"/>
        <w:gridCol w:w="3212.6666666666665"/>
        <w:gridCol w:w="3212.6666666666665"/>
        <w:tblGridChange w:id="0">
          <w:tblGrid>
            <w:gridCol w:w="3212.6666666666665"/>
            <w:gridCol w:w="3212.6666666666665"/>
            <w:gridCol w:w="3212.6666666666665"/>
          </w:tblGrid>
        </w:tblGridChange>
      </w:tblGrid>
      <w:tr>
        <w:trPr>
          <w:cantSplit w:val="0"/>
          <w:tblHeader w:val="1"/>
        </w:trPr>
        <w:tc>
          <w:tcPr/>
          <w:p w:rsidR="00000000" w:rsidDel="00000000" w:rsidP="00000000" w:rsidRDefault="00000000" w:rsidRPr="00000000" w14:paraId="00000053">
            <w:pPr>
              <w:widowControl w:val="1"/>
              <w:rPr>
                <w:rFonts w:ascii="Cambria" w:cs="Cambria" w:eastAsia="Cambria" w:hAnsi="Cambria"/>
              </w:rPr>
            </w:pPr>
            <w:r w:rsidDel="00000000" w:rsidR="00000000" w:rsidRPr="00000000">
              <w:rPr>
                <w:rFonts w:ascii="Cambria" w:cs="Cambria" w:eastAsia="Cambria" w:hAnsi="Cambria"/>
                <w:rtl w:val="0"/>
              </w:rPr>
              <w:t xml:space="preserve">Parameter</w:t>
            </w:r>
          </w:p>
        </w:tc>
        <w:tc>
          <w:tcPr/>
          <w:p w:rsidR="00000000" w:rsidDel="00000000" w:rsidP="00000000" w:rsidRDefault="00000000" w:rsidRPr="00000000" w14:paraId="00000054">
            <w:pPr>
              <w:widowControl w:val="1"/>
              <w:rPr>
                <w:rFonts w:ascii="Cambria" w:cs="Cambria" w:eastAsia="Cambria" w:hAnsi="Cambria"/>
              </w:rPr>
            </w:pPr>
            <w:r w:rsidDel="00000000" w:rsidR="00000000" w:rsidRPr="00000000">
              <w:rPr>
                <w:rFonts w:ascii="Cambria" w:cs="Cambria" w:eastAsia="Cambria" w:hAnsi="Cambria"/>
                <w:rtl w:val="0"/>
              </w:rPr>
              <w:t xml:space="preserve">Adults</w:t>
            </w:r>
          </w:p>
        </w:tc>
        <w:tc>
          <w:tcPr/>
          <w:p w:rsidR="00000000" w:rsidDel="00000000" w:rsidP="00000000" w:rsidRDefault="00000000" w:rsidRPr="00000000" w14:paraId="00000055">
            <w:pPr>
              <w:widowControl w:val="1"/>
              <w:rPr>
                <w:rFonts w:ascii="Cambria" w:cs="Cambria" w:eastAsia="Cambria" w:hAnsi="Cambria"/>
              </w:rPr>
            </w:pPr>
            <w:r w:rsidDel="00000000" w:rsidR="00000000" w:rsidRPr="00000000">
              <w:rPr>
                <w:rFonts w:ascii="Cambria" w:cs="Cambria" w:eastAsia="Cambria" w:hAnsi="Cambria"/>
                <w:rtl w:val="0"/>
              </w:rPr>
              <w:t xml:space="preserve">Pediatrics</w:t>
            </w:r>
          </w:p>
        </w:tc>
      </w:tr>
      <w:tr>
        <w:trPr>
          <w:cantSplit w:val="0"/>
          <w:tblHeader w:val="0"/>
        </w:trPr>
        <w:tc>
          <w:tcPr/>
          <w:p w:rsidR="00000000" w:rsidDel="00000000" w:rsidP="00000000" w:rsidRDefault="00000000" w:rsidRPr="00000000" w14:paraId="00000056">
            <w:pPr>
              <w:widowControl w:val="1"/>
              <w:rPr>
                <w:rFonts w:ascii="Cambria" w:cs="Cambria" w:eastAsia="Cambria" w:hAnsi="Cambria"/>
              </w:rPr>
            </w:pPr>
            <w:r w:rsidDel="00000000" w:rsidR="00000000" w:rsidRPr="00000000">
              <w:rPr>
                <w:rFonts w:ascii="Cambria" w:cs="Cambria" w:eastAsia="Cambria" w:hAnsi="Cambria"/>
                <w:rtl w:val="0"/>
              </w:rPr>
              <w:t xml:space="preserve">Clearance (mL/h)</w:t>
            </w:r>
          </w:p>
        </w:tc>
        <w:tc>
          <w:tcPr/>
          <w:p w:rsidR="00000000" w:rsidDel="00000000" w:rsidP="00000000" w:rsidRDefault="00000000" w:rsidRPr="00000000" w14:paraId="00000057">
            <w:pPr>
              <w:widowControl w:val="1"/>
              <w:rPr>
                <w:rFonts w:ascii="Cambria" w:cs="Cambria" w:eastAsia="Cambria" w:hAnsi="Cambria"/>
              </w:rPr>
            </w:pPr>
            <w:r w:rsidDel="00000000" w:rsidR="00000000" w:rsidRPr="00000000">
              <w:rPr>
                <w:rFonts w:ascii="Cambria" w:cs="Cambria" w:eastAsia="Cambria" w:hAnsi="Cambria"/>
                <w:rtl w:val="0"/>
              </w:rPr>
              <w:t xml:space="preserve">5.2 ± 1.0</w:t>
            </w:r>
          </w:p>
        </w:tc>
        <w:tc>
          <w:tcPr/>
          <w:p w:rsidR="00000000" w:rsidDel="00000000" w:rsidP="00000000" w:rsidRDefault="00000000" w:rsidRPr="00000000" w14:paraId="00000058">
            <w:pPr>
              <w:widowControl w:val="1"/>
              <w:rPr>
                <w:rFonts w:ascii="Cambria" w:cs="Cambria" w:eastAsia="Cambria" w:hAnsi="Cambria"/>
              </w:rPr>
            </w:pPr>
            <w:r w:rsidDel="00000000" w:rsidR="00000000" w:rsidRPr="00000000">
              <w:rPr>
                <w:rFonts w:ascii="Cambria" w:cs="Cambria" w:eastAsia="Cambria" w:hAnsi="Cambria"/>
                <w:rtl w:val="0"/>
              </w:rPr>
              <w:t xml:space="preserve">3.5 ± 0.7</w:t>
            </w:r>
          </w:p>
        </w:tc>
      </w:tr>
      <w:tr>
        <w:trPr>
          <w:cantSplit w:val="0"/>
          <w:tblHeader w:val="0"/>
        </w:trPr>
        <w:tc>
          <w:tcPr/>
          <w:p w:rsidR="00000000" w:rsidDel="00000000" w:rsidP="00000000" w:rsidRDefault="00000000" w:rsidRPr="00000000" w14:paraId="00000059">
            <w:pPr>
              <w:widowControl w:val="1"/>
              <w:rPr>
                <w:rFonts w:ascii="Cambria" w:cs="Cambria" w:eastAsia="Cambria" w:hAnsi="Cambria"/>
              </w:rPr>
            </w:pPr>
            <w:r w:rsidDel="00000000" w:rsidR="00000000" w:rsidRPr="00000000">
              <w:rPr>
                <w:rFonts w:ascii="Cambria" w:cs="Cambria" w:eastAsia="Cambria" w:hAnsi="Cambria"/>
                <w:rtl w:val="0"/>
              </w:rPr>
              <w:t xml:space="preserve">Volume of Distribution (mL)</w:t>
            </w:r>
          </w:p>
        </w:tc>
        <w:tc>
          <w:tcPr/>
          <w:p w:rsidR="00000000" w:rsidDel="00000000" w:rsidP="00000000" w:rsidRDefault="00000000" w:rsidRPr="00000000" w14:paraId="0000005A">
            <w:pPr>
              <w:widowControl w:val="1"/>
              <w:rPr>
                <w:rFonts w:ascii="Cambria" w:cs="Cambria" w:eastAsia="Cambria" w:hAnsi="Cambria"/>
              </w:rPr>
            </w:pPr>
            <w:r w:rsidDel="00000000" w:rsidR="00000000" w:rsidRPr="00000000">
              <w:rPr>
                <w:rFonts w:ascii="Cambria" w:cs="Cambria" w:eastAsia="Cambria" w:hAnsi="Cambria"/>
                <w:rtl w:val="0"/>
              </w:rPr>
              <w:t xml:space="preserve">50.6 ± 10</w:t>
            </w:r>
          </w:p>
        </w:tc>
        <w:tc>
          <w:tcPr/>
          <w:p w:rsidR="00000000" w:rsidDel="00000000" w:rsidP="00000000" w:rsidRDefault="00000000" w:rsidRPr="00000000" w14:paraId="0000005B">
            <w:pPr>
              <w:widowControl w:val="1"/>
              <w:rPr>
                <w:rFonts w:ascii="Cambria" w:cs="Cambria" w:eastAsia="Cambria" w:hAnsi="Cambria"/>
              </w:rPr>
            </w:pPr>
            <w:r w:rsidDel="00000000" w:rsidR="00000000" w:rsidRPr="00000000">
              <w:rPr>
                <w:rFonts w:ascii="Cambria" w:cs="Cambria" w:eastAsia="Cambria" w:hAnsi="Cambria"/>
                <w:rtl w:val="0"/>
              </w:rPr>
              <w:t xml:space="preserve">31.05 ± 5</w:t>
            </w:r>
          </w:p>
        </w:tc>
      </w:tr>
      <w:tr>
        <w:trPr>
          <w:cantSplit w:val="0"/>
          <w:tblHeader w:val="0"/>
        </w:trPr>
        <w:tc>
          <w:tcPr/>
          <w:p w:rsidR="00000000" w:rsidDel="00000000" w:rsidP="00000000" w:rsidRDefault="00000000" w:rsidRPr="00000000" w14:paraId="0000005C">
            <w:pPr>
              <w:widowControl w:val="1"/>
              <w:rPr>
                <w:rFonts w:ascii="Cambria" w:cs="Cambria" w:eastAsia="Cambria" w:hAnsi="Cambria"/>
              </w:rPr>
            </w:pPr>
            <w:r w:rsidDel="00000000" w:rsidR="00000000" w:rsidRPr="00000000">
              <w:rPr>
                <w:rFonts w:ascii="Cambria" w:cs="Cambria" w:eastAsia="Cambria" w:hAnsi="Cambria"/>
                <w:rtl w:val="0"/>
              </w:rPr>
              <w:t xml:space="preserve">Half-Life (h)</w:t>
            </w:r>
          </w:p>
        </w:tc>
        <w:tc>
          <w:tcPr/>
          <w:p w:rsidR="00000000" w:rsidDel="00000000" w:rsidP="00000000" w:rsidRDefault="00000000" w:rsidRPr="00000000" w14:paraId="0000005D">
            <w:pPr>
              <w:widowControl w:val="1"/>
              <w:rPr>
                <w:rFonts w:ascii="Cambria" w:cs="Cambria" w:eastAsia="Cambria" w:hAnsi="Cambria"/>
              </w:rPr>
            </w:pPr>
            <w:r w:rsidDel="00000000" w:rsidR="00000000" w:rsidRPr="00000000">
              <w:rPr>
                <w:rFonts w:ascii="Cambria" w:cs="Cambria" w:eastAsia="Cambria" w:hAnsi="Cambria"/>
                <w:rtl w:val="0"/>
              </w:rPr>
              <w:t xml:space="preserve">12.1 ± 3</w:t>
            </w:r>
          </w:p>
        </w:tc>
        <w:tc>
          <w:tcPr/>
          <w:p w:rsidR="00000000" w:rsidDel="00000000" w:rsidP="00000000" w:rsidRDefault="00000000" w:rsidRPr="00000000" w14:paraId="0000005E">
            <w:pPr>
              <w:widowControl w:val="1"/>
              <w:rPr>
                <w:rFonts w:ascii="Cambria" w:cs="Cambria" w:eastAsia="Cambria" w:hAnsi="Cambria"/>
              </w:rPr>
            </w:pPr>
            <w:r w:rsidDel="00000000" w:rsidR="00000000" w:rsidRPr="00000000">
              <w:rPr>
                <w:rFonts w:ascii="Cambria" w:cs="Cambria" w:eastAsia="Cambria" w:hAnsi="Cambria"/>
                <w:rtl w:val="0"/>
              </w:rPr>
              <w:t xml:space="preserve">10 ± 2</w:t>
            </w:r>
          </w:p>
        </w:tc>
      </w:tr>
    </w:tbl>
    <w:p w:rsidR="00000000" w:rsidDel="00000000" w:rsidP="00000000" w:rsidRDefault="00000000" w:rsidRPr="00000000" w14:paraId="0000005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0">
      <w:pPr>
        <w:pStyle w:val="Heading3"/>
        <w:keepNext w:val="0"/>
        <w:widowControl w:val="1"/>
        <w:pBdr>
          <w:top w:color="auto" w:space="0" w:sz="0" w:val="none"/>
          <w:left w:color="auto" w:space="0" w:sz="0" w:val="none"/>
          <w:bottom w:color="auto" w:space="0" w:sz="0" w:val="none"/>
          <w:right w:color="auto" w:space="0" w:sz="0" w:val="none"/>
        </w:pBdr>
        <w:spacing w:after="80" w:before="280" w:line="288" w:lineRule="auto"/>
        <w:ind w:left="0" w:firstLine="0"/>
        <w:jc w:val="both"/>
        <w:rPr>
          <w:rFonts w:ascii="Verdana" w:cs="Verdana" w:eastAsia="Verdana" w:hAnsi="Verdana"/>
          <w:color w:val="000000"/>
          <w:sz w:val="26"/>
          <w:szCs w:val="26"/>
        </w:rPr>
      </w:pPr>
      <w:bookmarkStart w:colFirst="0" w:colLast="0" w:name="_35cwtfou5i" w:id="5"/>
      <w:bookmarkEnd w:id="5"/>
      <w:r w:rsidDel="00000000" w:rsidR="00000000" w:rsidRPr="00000000">
        <w:rPr>
          <w:rtl w:val="0"/>
        </w:rPr>
      </w:r>
    </w:p>
    <w:p w:rsidR="00000000" w:rsidDel="00000000" w:rsidP="00000000" w:rsidRDefault="00000000" w:rsidRPr="00000000" w14:paraId="00000061">
      <w:pPr>
        <w:pStyle w:val="Heading3"/>
        <w:keepNext w:val="0"/>
        <w:widowControl w:val="1"/>
        <w:pBdr>
          <w:top w:color="auto" w:space="0" w:sz="0" w:val="none"/>
          <w:left w:color="auto" w:space="0" w:sz="0" w:val="none"/>
          <w:bottom w:color="auto" w:space="0" w:sz="0" w:val="none"/>
          <w:right w:color="auto" w:space="0" w:sz="0" w:val="none"/>
        </w:pBdr>
        <w:spacing w:after="80" w:before="280" w:line="288" w:lineRule="auto"/>
        <w:ind w:left="0" w:firstLine="0"/>
        <w:jc w:val="both"/>
        <w:rPr>
          <w:rFonts w:ascii="Verdana" w:cs="Verdana" w:eastAsia="Verdana" w:hAnsi="Verdana"/>
          <w:color w:val="000000"/>
          <w:sz w:val="26"/>
          <w:szCs w:val="26"/>
        </w:rPr>
      </w:pPr>
      <w:bookmarkStart w:colFirst="0" w:colLast="0" w:name="_dq0v36vat110" w:id="6"/>
      <w:bookmarkEnd w:id="6"/>
      <w:r w:rsidDel="00000000" w:rsidR="00000000" w:rsidRPr="00000000">
        <w:rPr>
          <w:rFonts w:ascii="Verdana" w:cs="Verdana" w:eastAsia="Verdana" w:hAnsi="Verdana"/>
          <w:color w:val="000000"/>
          <w:sz w:val="26"/>
          <w:szCs w:val="26"/>
          <w:rtl w:val="0"/>
        </w:rPr>
        <w:t xml:space="preserve">Model Validation</w:t>
      </w:r>
    </w:p>
    <w:p w:rsidR="00000000" w:rsidDel="00000000" w:rsidP="00000000" w:rsidRDefault="00000000" w:rsidRPr="00000000" w14:paraId="00000062">
      <w:pPr>
        <w:widowControl w:val="1"/>
        <w:pBdr>
          <w:top w:color="auto" w:space="0" w:sz="0" w:val="none"/>
          <w:left w:color="auto" w:space="0" w:sz="0" w:val="none"/>
          <w:bottom w:color="auto" w:space="0" w:sz="0" w:val="none"/>
          <w:right w:color="auto" w:space="0" w:sz="0" w:val="none"/>
        </w:pBdr>
        <w:spacing w:after="240" w:before="240" w:line="288" w:lineRule="auto"/>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Model validation was performed using visual predictive checks (VPC) and bootstrap resampling methods to ensure robustness and reliability of the pharmacometric models.</w:t>
      </w:r>
    </w:p>
    <w:p w:rsidR="00000000" w:rsidDel="00000000" w:rsidP="00000000" w:rsidRDefault="00000000" w:rsidRPr="00000000" w14:paraId="00000063">
      <w:pPr>
        <w:pStyle w:val="Heading3"/>
        <w:keepNext w:val="0"/>
        <w:widowControl w:val="1"/>
        <w:pBdr>
          <w:top w:color="auto" w:space="0" w:sz="0" w:val="none"/>
          <w:left w:color="auto" w:space="0" w:sz="0" w:val="none"/>
          <w:bottom w:color="auto" w:space="0" w:sz="0" w:val="none"/>
          <w:right w:color="auto" w:space="0" w:sz="0" w:val="none"/>
        </w:pBdr>
        <w:spacing w:after="80" w:before="280" w:line="288" w:lineRule="auto"/>
        <w:ind w:left="0" w:firstLine="0"/>
        <w:jc w:val="both"/>
        <w:rPr>
          <w:rFonts w:ascii="Verdana" w:cs="Verdana" w:eastAsia="Verdana" w:hAnsi="Verdana"/>
          <w:color w:val="000000"/>
          <w:sz w:val="26"/>
          <w:szCs w:val="26"/>
        </w:rPr>
      </w:pPr>
      <w:bookmarkStart w:colFirst="0" w:colLast="0" w:name="_5dkg3oi4oe1f" w:id="7"/>
      <w:bookmarkEnd w:id="7"/>
      <w:r w:rsidDel="00000000" w:rsidR="00000000" w:rsidRPr="00000000">
        <w:rPr>
          <w:rFonts w:ascii="Verdana" w:cs="Verdana" w:eastAsia="Verdana" w:hAnsi="Verdana"/>
          <w:color w:val="000000"/>
          <w:sz w:val="26"/>
          <w:szCs w:val="26"/>
          <w:rtl w:val="0"/>
        </w:rPr>
        <w:t xml:space="preserve">Statistical Analysis</w:t>
      </w:r>
    </w:p>
    <w:p w:rsidR="00000000" w:rsidDel="00000000" w:rsidP="00000000" w:rsidRDefault="00000000" w:rsidRPr="00000000" w14:paraId="00000064">
      <w:pPr>
        <w:widowControl w:val="1"/>
        <w:pBdr>
          <w:top w:color="auto" w:space="0" w:sz="0" w:val="none"/>
          <w:left w:color="auto" w:space="0" w:sz="0" w:val="none"/>
          <w:bottom w:color="auto" w:space="0" w:sz="0" w:val="none"/>
          <w:right w:color="auto" w:space="0" w:sz="0" w:val="none"/>
        </w:pBdr>
        <w:spacing w:after="240" w:before="240" w:line="288" w:lineRule="auto"/>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Statistical analyses were conducted using R and NONMEM software. Significance was set at p &lt; 0.001 for all tests.</w:t>
      </w:r>
    </w:p>
    <w:p w:rsidR="00000000" w:rsidDel="00000000" w:rsidP="00000000" w:rsidRDefault="00000000" w:rsidRPr="00000000" w14:paraId="00000065">
      <w:pPr>
        <w:widowControl w:val="1"/>
        <w:pBdr>
          <w:top w:color="auto" w:space="0" w:sz="0" w:val="none"/>
          <w:left w:color="auto" w:space="0" w:sz="0" w:val="none"/>
          <w:bottom w:color="auto" w:space="0" w:sz="0" w:val="none"/>
          <w:right w:color="auto" w:space="0" w:sz="0" w:val="none"/>
        </w:pBdr>
        <w:spacing w:after="240" w:before="240" w:line="288" w:lineRule="auto"/>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This methodology provides a comprehensive framework to evaluate the efficacy and safety of WMORE in treating KRAS-mutated cancers, paving the way for optimized therapeutic strategies in both adult and pediatric patients.</w:t>
      </w:r>
    </w:p>
    <w:p w:rsidR="00000000" w:rsidDel="00000000" w:rsidP="00000000" w:rsidRDefault="00000000" w:rsidRPr="00000000" w14:paraId="00000066">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sz w:val="21"/>
          <w:szCs w:val="21"/>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000000"/>
          <w:sz w:val="21"/>
          <w:szCs w:val="21"/>
          <w:u w:val="none"/>
          <w:shd w:fill="auto" w:val="clear"/>
          <w:vertAlign w:val="baseline"/>
          <w:rtl w:val="0"/>
        </w:rPr>
        <w:t xml:space="preserve">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9">
      <w:pPr>
        <w:rPr>
          <w:rFonts w:ascii="Verdana" w:cs="Verdana" w:eastAsia="Verdana" w:hAnsi="Verdana"/>
          <w:vertAlign w:val="baseline"/>
        </w:rPr>
      </w:pPr>
      <w:r w:rsidDel="00000000" w:rsidR="00000000" w:rsidRPr="00000000">
        <w:rPr>
          <w:rtl w:val="0"/>
        </w:rPr>
      </w:r>
    </w:p>
    <w:sectPr>
      <w:pgSz w:h="16838" w:w="11906" w:orient="portrait"/>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Verdana"/>
  <w:font w:name="Calibri"/>
  <w:font w:name="Cambria"/>
  <w:font w:name="Liberation Sans"/>
  <w:font w:name="Noto Sans Symbols">
    <w:embedRegular w:fontKey="{00000000-0000-0000-0000-000000000000}" r:id="rId1" w:subsetted="0"/>
    <w:embedBold w:fontKey="{00000000-0000-0000-0000-000000000000}" r:id="rId2" w:subsetted="0"/>
  </w:font>
  <w:font w:name="Liberation Serif"/>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
      <w:lvlJc w:val="left"/>
      <w:pPr>
        <w:ind w:left="792" w:hanging="432"/>
      </w:pPr>
      <w:rPr>
        <w:vertAlign w:val="baseline"/>
      </w:rPr>
    </w:lvl>
    <w:lvl w:ilvl="1">
      <w:start w:val="1"/>
      <w:numFmt w:val="decimal"/>
      <w:lvlText w:val=""/>
      <w:lvlJc w:val="left"/>
      <w:pPr>
        <w:ind w:left="936" w:hanging="576"/>
      </w:pPr>
      <w:rPr>
        <w:vertAlign w:val="baseline"/>
      </w:rPr>
    </w:lvl>
    <w:lvl w:ilvl="2">
      <w:start w:val="1"/>
      <w:numFmt w:val="decimal"/>
      <w:lvlText w:val=""/>
      <w:lvlJc w:val="left"/>
      <w:pPr>
        <w:ind w:left="1080" w:hanging="720"/>
      </w:pPr>
      <w:rPr>
        <w:vertAlign w:val="baseline"/>
      </w:rPr>
    </w:lvl>
    <w:lvl w:ilvl="3">
      <w:start w:val="1"/>
      <w:numFmt w:val="decimal"/>
      <w:lvlText w:val=""/>
      <w:lvlJc w:val="left"/>
      <w:pPr>
        <w:ind w:left="1224" w:hanging="864"/>
      </w:pPr>
      <w:rPr>
        <w:vertAlign w:val="baseline"/>
      </w:rPr>
    </w:lvl>
    <w:lvl w:ilvl="4">
      <w:start w:val="1"/>
      <w:numFmt w:val="decimal"/>
      <w:lvlText w:val=""/>
      <w:lvlJc w:val="left"/>
      <w:pPr>
        <w:ind w:left="1368" w:hanging="1007.9999999999999"/>
      </w:pPr>
      <w:rPr>
        <w:vertAlign w:val="baseline"/>
      </w:rPr>
    </w:lvl>
    <w:lvl w:ilvl="5">
      <w:start w:val="1"/>
      <w:numFmt w:val="decimal"/>
      <w:lvlText w:val=""/>
      <w:lvlJc w:val="left"/>
      <w:pPr>
        <w:ind w:left="1512" w:hanging="1152"/>
      </w:pPr>
      <w:rPr>
        <w:vertAlign w:val="baseline"/>
      </w:rPr>
    </w:lvl>
    <w:lvl w:ilvl="6">
      <w:start w:val="1"/>
      <w:numFmt w:val="decimal"/>
      <w:lvlText w:val=""/>
      <w:lvlJc w:val="left"/>
      <w:pPr>
        <w:ind w:left="1656" w:hanging="1296"/>
      </w:pPr>
      <w:rPr>
        <w:vertAlign w:val="baseline"/>
      </w:rPr>
    </w:lvl>
    <w:lvl w:ilvl="7">
      <w:start w:val="1"/>
      <w:numFmt w:val="decimal"/>
      <w:lvlText w:val=""/>
      <w:lvlJc w:val="left"/>
      <w:pPr>
        <w:ind w:left="1800" w:hanging="1440"/>
      </w:pPr>
      <w:rPr>
        <w:vertAlign w:val="baseline"/>
      </w:rPr>
    </w:lvl>
    <w:lvl w:ilvl="8">
      <w:start w:val="1"/>
      <w:numFmt w:val="decimal"/>
      <w:lvlText w:val=""/>
      <w:lvlJc w:val="left"/>
      <w:pPr>
        <w:ind w:left="1944" w:hanging="1584"/>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360" w:hanging="360"/>
      </w:pPr>
      <w:rPr>
        <w:u w:val="none"/>
      </w:rPr>
    </w:lvl>
    <w:lvl w:ilvl="1">
      <w:start w:val="1"/>
      <w:numFmt w:val="decimal"/>
      <w:lvlText w:val="%1.%2."/>
      <w:lvlJc w:val="left"/>
      <w:pPr>
        <w:ind w:left="792" w:hanging="432"/>
      </w:pPr>
      <w:rPr>
        <w:u w:val="none"/>
      </w:rPr>
    </w:lvl>
    <w:lvl w:ilvl="2">
      <w:start w:val="1"/>
      <w:numFmt w:val="decimal"/>
      <w:lvlText w:val="%1.%2.%3."/>
      <w:lvlJc w:val="left"/>
      <w:pPr>
        <w:ind w:left="1224" w:hanging="504"/>
      </w:pPr>
      <w:rPr>
        <w:u w:val="none"/>
      </w:rPr>
    </w:lvl>
    <w:lvl w:ilvl="3">
      <w:start w:val="1"/>
      <w:numFmt w:val="decimal"/>
      <w:lvlText w:val="%1.%2.%3.%4."/>
      <w:lvlJc w:val="left"/>
      <w:pPr>
        <w:ind w:left="1728" w:hanging="647.999999999999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5.9999999999998"/>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0000000000005"/>
      </w:pPr>
      <w:rPr>
        <w:u w:val="none"/>
      </w:rPr>
    </w:lvl>
    <w:lvl w:ilvl="8">
      <w:start w:val="1"/>
      <w:numFmt w:val="decimal"/>
      <w:lvlText w:val="%1.%2.%3.%4.%5.%6.%7.%8.%9."/>
      <w:lvlJc w:val="left"/>
      <w:pPr>
        <w:ind w:left="4320" w:hanging="144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240" w:lineRule="auto"/>
      <w:ind w:left="792" w:hanging="432"/>
    </w:pPr>
    <w:rPr>
      <w:rFonts w:ascii="Liberation Sans" w:cs="Liberation Sans" w:eastAsia="Liberation Sans" w:hAnsi="Liberation Sans"/>
      <w:b w:val="1"/>
      <w:sz w:val="36"/>
      <w:szCs w:val="36"/>
      <w:vertAlign w:val="baseline"/>
    </w:rPr>
  </w:style>
  <w:style w:type="paragraph" w:styleId="Heading2">
    <w:name w:val="heading 2"/>
    <w:basedOn w:val="Normal"/>
    <w:next w:val="Normal"/>
    <w:pPr>
      <w:keepNext w:val="1"/>
      <w:widowControl w:val="0"/>
      <w:spacing w:after="120" w:before="200" w:lineRule="auto"/>
      <w:ind w:left="936" w:hanging="576"/>
    </w:pPr>
    <w:rPr>
      <w:rFonts w:ascii="Liberation Sans" w:cs="Liberation Sans" w:eastAsia="Liberation Sans" w:hAnsi="Liberation Sans"/>
      <w:b w:val="1"/>
      <w:sz w:val="32"/>
      <w:szCs w:val="32"/>
      <w:vertAlign w:val="baseline"/>
    </w:rPr>
  </w:style>
  <w:style w:type="paragraph" w:styleId="Heading3">
    <w:name w:val="heading 3"/>
    <w:basedOn w:val="Normal"/>
    <w:next w:val="Normal"/>
    <w:pPr>
      <w:keepNext w:val="1"/>
      <w:widowControl w:val="0"/>
      <w:spacing w:after="120" w:before="140" w:lineRule="auto"/>
      <w:ind w:left="1080" w:hanging="720"/>
    </w:pPr>
    <w:rPr>
      <w:rFonts w:ascii="Liberation Sans" w:cs="Liberation Sans" w:eastAsia="Liberation Sans" w:hAnsi="Liberation Sans"/>
      <w:b w:val="1"/>
      <w:color w:val="808080"/>
      <w:sz w:val="28"/>
      <w:szCs w:val="28"/>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widowControl w:val="0"/>
      <w:spacing w:after="120" w:before="240" w:lineRule="auto"/>
      <w:jc w:val="center"/>
    </w:pPr>
    <w:rPr>
      <w:rFonts w:ascii="Liberation Sans" w:cs="Liberation Sans" w:eastAsia="Liberation Sans" w:hAnsi="Liberation Sans"/>
      <w:b w:val="1"/>
      <w:sz w:val="56"/>
      <w:szCs w:val="56"/>
      <w:vertAlign w:val="baseline"/>
    </w:rPr>
  </w:style>
  <w:style w:type="paragraph" w:styleId="Subtitle">
    <w:name w:val="Subtitle"/>
    <w:basedOn w:val="Normal"/>
    <w:next w:val="Normal"/>
    <w:pPr>
      <w:keepNext w:val="1"/>
      <w:widowControl w:val="0"/>
      <w:spacing w:after="120" w:before="60" w:lineRule="auto"/>
      <w:jc w:val="center"/>
    </w:pPr>
    <w:rPr>
      <w:rFonts w:ascii="Liberation Sans" w:cs="Liberation Sans" w:eastAsia="Liberation Sans" w:hAnsi="Liberation Sans"/>
      <w:sz w:val="36"/>
      <w:szCs w:val="36"/>
      <w:vertAlign w:val="baseline"/>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pPr>
      <w:jc w:val="right"/>
    </w:pPr>
    <w:tblPr>
      <w:tblStyleRowBandSize w:val="1"/>
      <w:tblStyleColBandSize w:val="1"/>
      <w:tblCellMar>
        <w:top w:w="0.0" w:type="dxa"/>
        <w:left w:w="115.0" w:type="dxa"/>
        <w:bottom w:w="0.0" w:type="dxa"/>
        <w:right w:w="115.0" w:type="dxa"/>
      </w:tblCellMar>
    </w:tblPr>
    <w:tcPr>
      <w:shd w:fill="auto" w:val="clear"/>
    </w:tcPr>
    <w:tblStylePr w:type="firstRow">
      <w:rPr>
        <w:b w:val="1"/>
      </w:rPr>
      <w:tcPr>
        <w:tcBorders>
          <w:top w:color="000000" w:space="0" w:sz="0" w:val="nil"/>
          <w:left w:color="000000" w:space="0" w:sz="0" w:val="nil"/>
          <w:bottom w:color="000000" w:space="0" w:sz="18" w:val="single"/>
          <w:right w:color="000000" w:space="0" w:sz="0" w:val="nil"/>
          <w:insideH w:color="000000" w:space="0" w:sz="0" w:val="nil"/>
          <w:insideV w:color="000000" w:space="0" w:sz="0" w:val="nil"/>
        </w:tcBorders>
      </w:tcPr>
    </w:tblStylePr>
  </w:style>
  <w:style w:type="table" w:styleId="Table3">
    <w:basedOn w:val="TableNormal"/>
    <w:pPr>
      <w:jc w:val="right"/>
    </w:pPr>
    <w:tblPr>
      <w:tblStyleRowBandSize w:val="1"/>
      <w:tblStyleColBandSize w:val="1"/>
      <w:tblCellMar>
        <w:top w:w="0.0" w:type="dxa"/>
        <w:left w:w="115.0" w:type="dxa"/>
        <w:bottom w:w="0.0" w:type="dxa"/>
        <w:right w:w="115.0" w:type="dxa"/>
      </w:tblCellMar>
    </w:tblPr>
    <w:tcPr>
      <w:shd w:fill="auto" w:val="clear"/>
    </w:tcPr>
    <w:tblStylePr w:type="firstRow">
      <w:rPr>
        <w:b w:val="1"/>
      </w:rPr>
      <w:tcPr>
        <w:tcBorders>
          <w:top w:color="000000" w:space="0" w:sz="0" w:val="nil"/>
          <w:left w:color="000000" w:space="0" w:sz="0" w:val="nil"/>
          <w:bottom w:color="000000" w:space="0" w:sz="18" w:val="single"/>
          <w:right w:color="000000" w:space="0" w:sz="0" w:val="nil"/>
          <w:insideH w:color="000000" w:space="0" w:sz="0" w:val="nil"/>
          <w:insideV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roducts.office.com/en-us/word"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