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MEBEL ISHLAB CHIQARISH (BUYURTMA) SHARTNOMASI</w:t>
      </w:r>
    </w:p>
    <w:p>
      <w:pPr>
        <w:pStyle w:val="Normal"/>
        <w:jc w:val="center"/>
        <w:rPr/>
      </w:pPr>
      <w:r>
        <w:rPr>
          <w:b/>
          <w:sz w:val="22"/>
        </w:rPr>
        <w:t xml:space="preserve">№ __________</w:t>
      </w:r>
    </w:p>
    <w:tbl>
      <w:tblPr>
        <w:tblW w:w="10204" w:type="dxa"/>
        <w:jc w:val="center"/>
        <w:tblInd w:w="0" w:type="dxa"/>
        <w:tblLayout w:type="fixed"/>
        <w:tblCellMar>
          <w:top w:w="80" w:type="dxa"/>
          <w:left w:w="80" w:type="dxa"/>
          <w:bottom w:w="80" w:type="dxa"/>
          <w:right w:w="80" w:type="dxa"/>
        </w:tblCellMar>
        <w:tblLook w:val="04a0" w:noHBand="0" w:noVBand="1" w:firstColumn="1" w:lastRow="0" w:lastColumn="0" w:firstRow="1"/>
      </w:tblPr>
      <w:tblGrid>
        <w:gridCol w:w="5102"/>
        <w:gridCol w:w="5101"/>
      </w:tblGrid>
      <w:tr>
        <w:trPr/>
        <w:tc>
          <w:tcPr>
            <w:tcW w:w="5102" w:type="dxa"/>
            <w:tcBorders/>
            <w:vAlign w:val="center"/>
          </w:tcPr>
          <w:p>
            <w:pPr>
              <w:pStyle w:val="Normal"/>
              <w:spacing w:before="0" w:after="60"/>
              <w:jc w:val="center"/>
              <w:rPr/>
            </w:pPr>
            <w:r>
              <w:rPr/>
              <w:t>________________ shahar (tuman)</w:t>
            </w:r>
          </w:p>
        </w:tc>
        <w:tc>
          <w:tcPr>
            <w:tcW w:w="5101" w:type="dxa"/>
            <w:tcBorders/>
            <w:vAlign w:val="center"/>
          </w:tcPr>
          <w:p>
            <w:pPr>
              <w:pStyle w:val="Normal"/>
              <w:spacing w:before="0" w:after="60"/>
              <w:jc w:val="center"/>
              <w:rPr/>
            </w:pPr>
            <w:r>
              <w:rPr/>
              <w:t>“___” ____________ 20___ yil</w:t>
            </w:r>
          </w:p>
        </w:tc>
      </w:tr>
    </w:tbl>
    <w:p>
      <w:pPr>
        <w:pStyle w:val="Normal"/>
        <w:rPr/>
      </w:pPr>
      <w:r>
        <w:rPr/>
        <w:t>Bundan buyon “Pudratchi” deb yuritiladigan ____________________________________________ (tashkilot nomi, STIR: ____________________), rahbar ______________________________ nomidan, bir tomondan, va bundan buyon “Buyurtmachi” deb yuritiladigan ____________________________________________ (pasport/ID ma’lumoti: ____________________, manzil: _______________________________________), ikkinchi tomondan, O‘zbekiston Respublikasi Fuqarolik kodeksining pudrat va maishiy pudratga oid amaldagi qoidalari asosida quyidagilar haqida ushbu shartnomani tuzdilar:</w:t>
      </w:r>
    </w:p>
    <w:p>
      <w:pPr>
        <w:pStyle w:val="Normal"/>
        <w:keepNext w:val="true"/>
        <w:spacing w:before="160" w:after="120"/>
        <w:jc w:val="center"/>
        <w:rPr/>
      </w:pPr>
      <w:r>
        <w:rPr>
          <w:b/>
          <w:sz w:val="22"/>
        </w:rPr>
        <w:t>1. SHARTNOMA PREDMETI</w:t>
      </w:r>
    </w:p>
    <w:p>
      <w:pPr>
        <w:pStyle w:val="Normal"/>
        <w:spacing w:lineRule="auto" w:line="259" w:before="0" w:after="80"/>
        <w:rPr/>
      </w:pPr>
      <w:r>
        <w:rPr>
          <w:b/>
        </w:rPr>
        <w:t xml:space="preserve">1.1. </w:t>
      </w:r>
      <w:r>
        <w:rPr/>
        <w:t>Pudratchi Buyurtmachining topshirig‘i, tasdiqlangan eskiz/chizma va texnik topshiriqqa muvofiq mebelni ishlab chiqarish, zarur bo‘lsa yetkazib berish va montaj qilish, Buyurtmachi esa natijani qabul qilish hamda haqini to‘lash majburiyatini oladi.</w:t>
      </w:r>
    </w:p>
    <w:p>
      <w:pPr>
        <w:pStyle w:val="Normal"/>
        <w:spacing w:lineRule="auto" w:line="259" w:before="0" w:after="80"/>
        <w:rPr/>
      </w:pPr>
      <w:r>
        <w:rPr>
          <w:b/>
        </w:rPr>
        <w:t xml:space="preserve">1.2. </w:t>
      </w:r>
      <w:r>
        <w:rPr/>
        <w:t>Buyurtma tarkibi quyidagi jadvalda belgilanadi:</w:t>
      </w:r>
    </w:p>
    <w:tbl>
      <w:tblPr>
        <w:tblStyle w:val="TableGrid"/>
        <w:tblW w:w="9411" w:type="dxa"/>
        <w:jc w:val="center"/>
        <w:tblInd w:w="0" w:type="dxa"/>
        <w:tblLayout w:type="fixed"/>
        <w:tblCellMar>
          <w:top w:w="60" w:type="dxa"/>
          <w:left w:w="50" w:type="dxa"/>
          <w:bottom w:w="60" w:type="dxa"/>
          <w:right w:w="50" w:type="dxa"/>
        </w:tblCellMar>
        <w:tblLook w:val="04a0" w:noHBand="0" w:noVBand="1" w:firstColumn="1" w:lastRow="0" w:lastColumn="0" w:firstRow="1"/>
      </w:tblPr>
      <w:tblGrid>
        <w:gridCol w:w="510"/>
        <w:gridCol w:w="2041"/>
        <w:gridCol w:w="1530"/>
        <w:gridCol w:w="680"/>
        <w:gridCol w:w="1929"/>
        <w:gridCol w:w="1020"/>
        <w:gridCol w:w="1700"/>
      </w:tblGrid>
      <w:tr>
        <w:trPr/>
        <w:tc>
          <w:tcPr>
            <w:tcW w:w="510" w:type="dxa"/>
            <w:tcBorders/>
            <w:shd w:fill="D9EAF7"/>
            <w:vAlign w:val="center"/>
          </w:tcPr>
          <w:p>
            <w:pPr>
              <w:pStyle w:val="Normal"/>
              <w:widowControl/>
              <w:spacing w:lineRule="auto" w:line="240" w:before="0" w:after="60"/>
              <w:jc w:val="center"/>
              <w:rPr>
                <w:rFonts w:cs=""/>
                <w:kern w:val="0"/>
                <w:szCs w:val="22"/>
                <w:lang w:val="en-US" w:eastAsia="en-US" w:bidi="ar-SA"/>
              </w:rPr>
            </w:pPr>
            <w:r>
              <w:rPr>
                <w:rFonts w:cs=""/>
                <w:b/>
                <w:kern w:val="0"/>
                <w:szCs w:val="22"/>
                <w:lang w:val="en-US" w:eastAsia="en-US" w:bidi="ar-SA"/>
              </w:rPr>
              <w:t>№</w:t>
            </w:r>
          </w:p>
        </w:tc>
        <w:tc>
          <w:tcPr>
            <w:tcW w:w="2041" w:type="dxa"/>
            <w:tcBorders/>
            <w:shd w:fill="D9EAF7"/>
            <w:vAlign w:val="center"/>
          </w:tcPr>
          <w:p>
            <w:pPr>
              <w:pStyle w:val="Normal"/>
              <w:widowControl/>
              <w:spacing w:lineRule="auto" w:line="240" w:before="0" w:after="60"/>
              <w:jc w:val="center"/>
              <w:rPr>
                <w:rFonts w:cs=""/>
                <w:kern w:val="0"/>
                <w:szCs w:val="22"/>
                <w:lang w:val="en-US" w:eastAsia="en-US" w:bidi="ar-SA"/>
              </w:rPr>
            </w:pPr>
            <w:r>
              <w:rPr>
                <w:rFonts w:cs=""/>
                <w:b/>
                <w:kern w:val="0"/>
                <w:szCs w:val="22"/>
                <w:lang w:val="en-US" w:eastAsia="en-US" w:bidi="ar-SA"/>
              </w:rPr>
              <w:t>Mebel nomi</w:t>
            </w:r>
          </w:p>
        </w:tc>
        <w:tc>
          <w:tcPr>
            <w:tcW w:w="1530" w:type="dxa"/>
            <w:tcBorders/>
            <w:shd w:fill="D9EAF7"/>
            <w:vAlign w:val="center"/>
          </w:tcPr>
          <w:p>
            <w:pPr>
              <w:pStyle w:val="Normal"/>
              <w:widowControl/>
              <w:spacing w:lineRule="auto" w:line="240" w:before="0" w:after="60"/>
              <w:jc w:val="center"/>
              <w:rPr>
                <w:rFonts w:cs=""/>
                <w:kern w:val="0"/>
                <w:szCs w:val="22"/>
                <w:lang w:val="en-US" w:eastAsia="en-US" w:bidi="ar-SA"/>
              </w:rPr>
            </w:pPr>
            <w:r>
              <w:rPr>
                <w:rFonts w:cs=""/>
                <w:b/>
                <w:kern w:val="0"/>
                <w:szCs w:val="22"/>
                <w:lang w:val="en-US" w:eastAsia="en-US" w:bidi="ar-SA"/>
              </w:rPr>
              <w:t>O‘lchami</w:t>
            </w:r>
          </w:p>
        </w:tc>
        <w:tc>
          <w:tcPr>
            <w:tcW w:w="680" w:type="dxa"/>
            <w:tcBorders/>
            <w:shd w:fill="D9EAF7"/>
            <w:vAlign w:val="center"/>
          </w:tcPr>
          <w:p>
            <w:pPr>
              <w:pStyle w:val="Normal"/>
              <w:widowControl/>
              <w:spacing w:lineRule="auto" w:line="240" w:before="0" w:after="60"/>
              <w:jc w:val="center"/>
              <w:rPr>
                <w:rFonts w:cs=""/>
                <w:kern w:val="0"/>
                <w:szCs w:val="22"/>
                <w:lang w:val="en-US" w:eastAsia="en-US" w:bidi="ar-SA"/>
              </w:rPr>
            </w:pPr>
            <w:r>
              <w:rPr>
                <w:rFonts w:cs=""/>
                <w:b/>
                <w:kern w:val="0"/>
                <w:szCs w:val="22"/>
                <w:lang w:val="en-US" w:eastAsia="en-US" w:bidi="ar-SA"/>
              </w:rPr>
              <w:t>Soni</w:t>
            </w:r>
          </w:p>
        </w:tc>
        <w:tc>
          <w:tcPr>
            <w:tcW w:w="1929" w:type="dxa"/>
            <w:tcBorders/>
            <w:shd w:fill="D9EAF7"/>
            <w:vAlign w:val="center"/>
          </w:tcPr>
          <w:p>
            <w:pPr>
              <w:pStyle w:val="Normal"/>
              <w:widowControl/>
              <w:spacing w:lineRule="auto" w:line="240" w:before="0" w:after="60"/>
              <w:jc w:val="center"/>
              <w:rPr>
                <w:rFonts w:cs=""/>
                <w:kern w:val="0"/>
                <w:szCs w:val="22"/>
                <w:lang w:val="en-US" w:eastAsia="en-US" w:bidi="ar-SA"/>
              </w:rPr>
            </w:pPr>
            <w:r>
              <w:rPr>
                <w:rFonts w:cs=""/>
                <w:b/>
                <w:kern w:val="0"/>
                <w:szCs w:val="22"/>
                <w:lang w:val="en-US" w:eastAsia="en-US" w:bidi="ar-SA"/>
              </w:rPr>
              <w:t>Material / rang</w:t>
            </w:r>
          </w:p>
        </w:tc>
        <w:tc>
          <w:tcPr>
            <w:tcW w:w="1020" w:type="dxa"/>
            <w:tcBorders/>
            <w:shd w:fill="D9EAF7"/>
            <w:vAlign w:val="center"/>
          </w:tcPr>
          <w:p>
            <w:pPr>
              <w:pStyle w:val="Normal"/>
              <w:widowControl/>
              <w:spacing w:lineRule="auto" w:line="240" w:before="0" w:after="60"/>
              <w:jc w:val="center"/>
              <w:rPr>
                <w:rFonts w:cs=""/>
                <w:kern w:val="0"/>
                <w:szCs w:val="22"/>
                <w:lang w:val="en-US" w:eastAsia="en-US" w:bidi="ar-SA"/>
              </w:rPr>
            </w:pPr>
            <w:r>
              <w:rPr>
                <w:rFonts w:cs=""/>
                <w:b/>
                <w:kern w:val="0"/>
                <w:szCs w:val="22"/>
                <w:lang w:val="en-US" w:eastAsia="en-US" w:bidi="ar-SA"/>
              </w:rPr>
              <w:t>Birlik narxi</w:t>
            </w:r>
          </w:p>
        </w:tc>
        <w:tc>
          <w:tcPr>
            <w:tcW w:w="1700" w:type="dxa"/>
            <w:tcBorders/>
            <w:shd w:fill="D9EAF7"/>
            <w:vAlign w:val="center"/>
          </w:tcPr>
          <w:p>
            <w:pPr>
              <w:pStyle w:val="Normal"/>
              <w:widowControl/>
              <w:spacing w:lineRule="auto" w:line="240" w:before="0" w:after="60"/>
              <w:jc w:val="center"/>
              <w:rPr>
                <w:rFonts w:cs=""/>
                <w:kern w:val="0"/>
                <w:szCs w:val="22"/>
                <w:lang w:val="en-US" w:eastAsia="en-US" w:bidi="ar-SA"/>
              </w:rPr>
            </w:pPr>
            <w:r>
              <w:rPr>
                <w:rFonts w:cs=""/>
                <w:b/>
                <w:kern w:val="0"/>
                <w:szCs w:val="22"/>
                <w:lang w:val="en-US" w:eastAsia="en-US" w:bidi="ar-SA"/>
              </w:rPr>
              <w:t>Jami narxi</w:t>
            </w:r>
          </w:p>
        </w:tc>
      </w:tr>
      <w:tr>
        <w:trPr/>
        <w:tc>
          <w:tcPr>
            <w:tcW w:w="51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t>1</w:t>
            </w:r>
          </w:p>
        </w:tc>
        <w:tc>
          <w:tcPr>
            <w:tcW w:w="2041"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53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68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929"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02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70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r>
      <w:tr>
        <w:trPr/>
        <w:tc>
          <w:tcPr>
            <w:tcW w:w="51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t>2</w:t>
            </w:r>
          </w:p>
        </w:tc>
        <w:tc>
          <w:tcPr>
            <w:tcW w:w="2041"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53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68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929"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02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70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r>
      <w:tr>
        <w:trPr/>
        <w:tc>
          <w:tcPr>
            <w:tcW w:w="51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t>3</w:t>
            </w:r>
          </w:p>
        </w:tc>
        <w:tc>
          <w:tcPr>
            <w:tcW w:w="2041"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53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68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929"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02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c>
          <w:tcPr>
            <w:tcW w:w="1700" w:type="dxa"/>
            <w:tcBorders/>
            <w:vAlign w:val="center"/>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r>
          </w:p>
        </w:tc>
      </w:tr>
    </w:tbl>
    <w:p>
      <w:pPr>
        <w:pStyle w:val="Normal"/>
        <w:spacing w:lineRule="auto" w:line="259" w:before="0" w:after="80"/>
        <w:rPr/>
      </w:pPr>
      <w:r>
        <w:rPr>
          <w:b/>
        </w:rPr>
        <w:t xml:space="preserve">1.3. </w:t>
      </w:r>
      <w:r>
        <w:rPr/>
        <w:t>Materiallar, furnitura, bo‘yoq kodi, oyna turi, profil, mexanizm, tutqich, yoritish va boshqa texnik ko‘rsatkichlar 1-ilovada batafsil ko‘rsatiladi. Ilova mazkur shartnomaning ajralmas qismi hisoblanadi.</w:t>
      </w:r>
    </w:p>
    <w:p>
      <w:pPr>
        <w:pStyle w:val="Normal"/>
        <w:spacing w:lineRule="auto" w:line="259" w:before="0" w:after="80"/>
        <w:rPr/>
      </w:pPr>
      <w:r>
        <w:rPr>
          <w:b/>
        </w:rPr>
        <w:t xml:space="preserve">1.4. </w:t>
      </w:r>
      <w:r>
        <w:rPr/>
        <w:t>O‘lchovlarni Pudratchi olgan taqdirda o‘lchov natijalari dalolatnoma yoki tasdiqlangan chizmada qayd etiladi. Buyurtmachi taqdim etgan o‘lchovlarning to‘g‘riligi uchun Buyurtmachi javob beradi.</w:t>
      </w:r>
    </w:p>
    <w:p>
      <w:pPr>
        <w:pStyle w:val="Normal"/>
        <w:keepNext w:val="true"/>
        <w:spacing w:before="160" w:after="120"/>
        <w:jc w:val="center"/>
        <w:rPr/>
      </w:pPr>
      <w:r>
        <w:rPr>
          <w:b/>
          <w:sz w:val="22"/>
        </w:rPr>
        <w:t>2. SHARTNOMA NARXI VA TO‘LOV TARTIBI</w:t>
      </w:r>
    </w:p>
    <w:p>
      <w:pPr>
        <w:pStyle w:val="Normal"/>
        <w:spacing w:lineRule="auto" w:line="259" w:before="0" w:after="80"/>
        <w:rPr/>
      </w:pPr>
      <w:r>
        <w:rPr>
          <w:b/>
        </w:rPr>
        <w:t xml:space="preserve">2.1. </w:t>
      </w:r>
      <w:r>
        <w:rPr/>
        <w:t>Shartnomaning umumiy narxi: __________________ so‘m (________________________________________________ so‘m), shu jumladan QQS bilan / QQS siz (keraklisi belgilanadi).</w:t>
      </w:r>
    </w:p>
    <w:p>
      <w:pPr>
        <w:pStyle w:val="Normal"/>
        <w:spacing w:lineRule="auto" w:line="259" w:before="0" w:after="80"/>
        <w:rPr/>
      </w:pPr>
      <w:r>
        <w:rPr>
          <w:b/>
        </w:rPr>
        <w:t xml:space="preserve">2.2. </w:t>
      </w:r>
      <w:r>
        <w:rPr/>
        <w:t>To‘lov quyidagi tartibda amalga oshiriladi:</w:t>
      </w:r>
    </w:p>
    <w:p>
      <w:pPr>
        <w:pStyle w:val="ListBullet"/>
        <w:numPr>
          <w:ilvl w:val="0"/>
          <w:numId w:val="1"/>
        </w:numPr>
        <w:spacing w:before="0" w:after="40"/>
        <w:contextualSpacing/>
        <w:rPr/>
      </w:pPr>
      <w:r>
        <w:rPr/>
        <w:t>avans — ______ % / __________________ so‘m, shartnoma imzolanganda;</w:t>
      </w:r>
    </w:p>
    <w:p>
      <w:pPr>
        <w:pStyle w:val="ListBullet"/>
        <w:numPr>
          <w:ilvl w:val="0"/>
          <w:numId w:val="1"/>
        </w:numPr>
        <w:spacing w:before="0" w:after="40"/>
        <w:contextualSpacing/>
        <w:rPr/>
      </w:pPr>
      <w:r>
        <w:rPr/>
        <w:t>oraliq to‘lov — ______ % / __________________ so‘m, __________________ bosqichda;</w:t>
      </w:r>
    </w:p>
    <w:p>
      <w:pPr>
        <w:pStyle w:val="ListBullet"/>
        <w:numPr>
          <w:ilvl w:val="0"/>
          <w:numId w:val="1"/>
        </w:numPr>
        <w:spacing w:before="0" w:after="40"/>
        <w:contextualSpacing/>
        <w:rPr/>
      </w:pPr>
      <w:r>
        <w:rPr/>
        <w:t>yakuniy to‘lov — ______ % / __________________ so‘m, topshirishdan oldin yoki qabul-topshirish vaqtida.</w:t>
      </w:r>
    </w:p>
    <w:p>
      <w:pPr>
        <w:pStyle w:val="Normal"/>
        <w:spacing w:lineRule="auto" w:line="259" w:before="0" w:after="80"/>
        <w:rPr/>
      </w:pPr>
      <w:r>
        <w:rPr>
          <w:b/>
        </w:rPr>
        <w:t xml:space="preserve">2.3. </w:t>
      </w:r>
      <w:r>
        <w:rPr/>
        <w:t>To‘lov usuli: naqd pul / bank o‘tkazmasi / plastik karta / Click / Payme / boshqa: __________________ (keraklisi belgilanadi). Har bir to‘lov chek, kvitansiya yoki elektron tasdiq bilan rasmiylashtiriladi.</w:t>
      </w:r>
    </w:p>
    <w:p>
      <w:pPr>
        <w:pStyle w:val="Normal"/>
        <w:spacing w:lineRule="auto" w:line="259" w:before="0" w:after="80"/>
        <w:rPr/>
      </w:pPr>
      <w:r>
        <w:rPr>
          <w:b/>
        </w:rPr>
        <w:t xml:space="preserve">2.4. </w:t>
      </w:r>
      <w:r>
        <w:rPr/>
        <w:t>Narxga quyidagilar kiradi: ishlab chiqarish — ha/yo‘q; yetkazib berish — ha/yo‘q; montaj — ha/yo‘q; qavatga ko‘tarish — ha/yo‘q. Kiritilmagan xizmatlar alohida hisoblanadi.</w:t>
      </w:r>
    </w:p>
    <w:p>
      <w:pPr>
        <w:pStyle w:val="Normal"/>
        <w:spacing w:lineRule="auto" w:line="259" w:before="0" w:after="80"/>
        <w:rPr/>
      </w:pPr>
      <w:r>
        <w:rPr>
          <w:b/>
        </w:rPr>
        <w:t xml:space="preserve">2.5. </w:t>
      </w:r>
      <w:r>
        <w:rPr/>
        <w:t>Buyurtmachi tasdiqlangan chizma yoki materialga o‘zgartirish kiritsa, qo‘shimcha ish, material, transport va muddat yozma yoki elektron qo‘shimcha kelishuv asosida qayta hisoblanadi.</w:t>
      </w:r>
    </w:p>
    <w:p>
      <w:pPr>
        <w:pStyle w:val="Normal"/>
        <w:spacing w:lineRule="auto" w:line="259" w:before="0" w:after="80"/>
        <w:rPr/>
      </w:pPr>
      <w:r>
        <w:rPr>
          <w:b/>
        </w:rPr>
        <w:t xml:space="preserve">2.6. </w:t>
      </w:r>
      <w:r>
        <w:rPr/>
        <w:t>Buyurtmachi to‘lovni kechiktirsa, Pudratchi ishni vaqtincha to‘xtatishga haqli; ishni bajarish muddati kechikkan kunlar va ishni qayta tashkil etish uchun zarur oqilona muddatga uzayadi. Buyurtmachi to‘lovni belgilangan muddatdan ______ kalendar kundan ortiq kechiktirsa, har kechiktirilgan kun uchun kechiktirilgan summaning ______ % miqdorida penya to‘laydi, lekin jami kechiktirilgan summaning ______ %idan ko‘p emas.</w:t>
      </w:r>
    </w:p>
    <w:p>
      <w:pPr>
        <w:pStyle w:val="Normal"/>
        <w:keepNext w:val="true"/>
        <w:spacing w:before="160" w:after="120"/>
        <w:jc w:val="center"/>
        <w:rPr/>
      </w:pPr>
      <w:r>
        <w:rPr>
          <w:b/>
          <w:sz w:val="22"/>
        </w:rPr>
        <w:t>3. CHIZMA, MATERIAL VA TASDIQLASH TARTIBI</w:t>
      </w:r>
    </w:p>
    <w:p>
      <w:pPr>
        <w:pStyle w:val="Normal"/>
        <w:spacing w:lineRule="auto" w:line="259" w:before="0" w:after="80"/>
        <w:rPr/>
      </w:pPr>
      <w:r>
        <w:rPr>
          <w:b/>
        </w:rPr>
        <w:t xml:space="preserve">3.1. </w:t>
      </w:r>
      <w:r>
        <w:rPr/>
        <w:t>Pudratchi eskiz/chizma, rang va material namunasini Buyurtmachiga qog‘ozda, messenjerda, elektron pochta orqali yoki dasturdagi shaxsiy kabinet orqali taqdim etadi.</w:t>
      </w:r>
    </w:p>
    <w:p>
      <w:pPr>
        <w:pStyle w:val="Normal"/>
        <w:spacing w:lineRule="auto" w:line="259" w:before="0" w:after="80"/>
        <w:rPr/>
      </w:pPr>
      <w:r>
        <w:rPr>
          <w:b/>
        </w:rPr>
        <w:t xml:space="preserve">3.2. </w:t>
      </w:r>
      <w:r>
        <w:rPr/>
        <w:t>Buyurtmachi “Tasdiqlayman” belgisi, imzo, SMS-kod yoki yozma elektron xabar orqali tasdiq bergan sana ishlab chiqarishni boshlash uchun asos hisoblanadi.</w:t>
      </w:r>
    </w:p>
    <w:p>
      <w:pPr>
        <w:pStyle w:val="Normal"/>
        <w:spacing w:lineRule="auto" w:line="259" w:before="0" w:after="80"/>
        <w:rPr/>
      </w:pPr>
      <w:r>
        <w:rPr>
          <w:b/>
        </w:rPr>
        <w:t xml:space="preserve">3.3. </w:t>
      </w:r>
      <w:r>
        <w:rPr/>
        <w:t>Tasdiqlangandan keyingi o‘zgarishlar faqat qo‘shimcha narx va muddat ko‘rsatilgan kelishuv bilan bajariladi. Pudratchi tasdiqlanmagan o‘zgarishlarni bajarishga majbur emas.</w:t>
      </w:r>
    </w:p>
    <w:p>
      <w:pPr>
        <w:pStyle w:val="Normal"/>
        <w:spacing w:lineRule="auto" w:line="259" w:before="0" w:after="80"/>
        <w:rPr/>
      </w:pPr>
      <w:r>
        <w:rPr>
          <w:b/>
        </w:rPr>
        <w:t xml:space="preserve">3.4. </w:t>
      </w:r>
      <w:r>
        <w:rPr/>
        <w:t>Rang va faktura monitor, telefon yoki bosma rasmda tabiiy namunadan biroz farq qilishi mumkin. Muhim ranglar fizik namuna yoki aniq rang kodi bo‘yicha tasdiqlanadi.</w:t>
      </w:r>
    </w:p>
    <w:p>
      <w:pPr>
        <w:pStyle w:val="Normal"/>
        <w:keepNext w:val="true"/>
        <w:spacing w:before="160" w:after="120"/>
        <w:jc w:val="center"/>
        <w:rPr/>
      </w:pPr>
      <w:r>
        <w:rPr>
          <w:b/>
          <w:sz w:val="22"/>
        </w:rPr>
        <w:t>4. BAJARISH MUDDATLARI</w:t>
      </w:r>
    </w:p>
    <w:p>
      <w:pPr>
        <w:pStyle w:val="Normal"/>
        <w:spacing w:lineRule="auto" w:line="259" w:before="0" w:after="80"/>
        <w:rPr/>
      </w:pPr>
      <w:r>
        <w:rPr>
          <w:b/>
        </w:rPr>
        <w:t xml:space="preserve">4.1. </w:t>
      </w:r>
      <w:r>
        <w:rPr/>
        <w:t>Ishlab chiqarish muddati: ______ ish kuni. Muddat avans to‘lovi, yakuniy o‘lchov va chizma/material tasdig‘ining barchasi olingan kundan boshlanadi.</w:t>
      </w:r>
    </w:p>
    <w:p>
      <w:pPr>
        <w:pStyle w:val="Normal"/>
        <w:spacing w:lineRule="auto" w:line="259" w:before="0" w:after="80"/>
        <w:rPr/>
      </w:pPr>
      <w:r>
        <w:rPr>
          <w:b/>
        </w:rPr>
        <w:t xml:space="preserve">4.2. </w:t>
      </w:r>
      <w:r>
        <w:rPr/>
        <w:t>Rejalashtirilgan topshirish sanasi: “___” ____________ 20___ yil.</w:t>
      </w:r>
    </w:p>
    <w:p>
      <w:pPr>
        <w:pStyle w:val="Normal"/>
        <w:spacing w:lineRule="auto" w:line="259" w:before="0" w:after="80"/>
        <w:rPr/>
      </w:pPr>
      <w:r>
        <w:rPr>
          <w:b/>
        </w:rPr>
        <w:t xml:space="preserve">4.3. </w:t>
      </w:r>
      <w:r>
        <w:rPr/>
        <w:t>Buyurtmachi sababli kechikishlar (tasdiqni, material tanlovini, to‘lovni, obyektga kirishni kechiktirish va boshqalar) Pudratchining kechikishi hisoblanmaydi va muddat tegishlicha uzayadi.</w:t>
      </w:r>
    </w:p>
    <w:p>
      <w:pPr>
        <w:pStyle w:val="Normal"/>
        <w:spacing w:lineRule="auto" w:line="259" w:before="0" w:after="80"/>
        <w:rPr/>
      </w:pPr>
      <w:r>
        <w:rPr>
          <w:b/>
        </w:rPr>
        <w:t xml:space="preserve">4.4. </w:t>
      </w:r>
      <w:r>
        <w:rPr/>
        <w:t>Pudratchi sababli kechikish uchun tomonlar quyidagi jarimani kelishadilar: har kechiktirilgan kalendar/ish kuni uchun ______ %, lekin jami shartnoma qiymatining ______ %idan ko‘p emas. Bo‘sh qoldirilsa, jarima faqat amaldagi qonunchilik va isbotlangan zarar doirasida qo‘llanadi.</w:t>
      </w:r>
    </w:p>
    <w:p>
      <w:pPr>
        <w:pStyle w:val="Normal"/>
        <w:spacing w:lineRule="auto" w:line="259" w:before="0" w:after="80"/>
        <w:rPr/>
      </w:pPr>
      <w:r>
        <w:rPr>
          <w:b/>
        </w:rPr>
        <w:t xml:space="preserve">4.5. </w:t>
      </w:r>
      <w:r>
        <w:rPr/>
        <w:t>Material yetkazib berishdagi uzilishlar, elektr/kommunikatsiya avariyasi, davlat cheklovlari yoki boshqa nazoratdan tashqari holatlar hujjat bilan tasdiqlansa, muddat oqilona davrga uzaytiriladi.</w:t>
      </w:r>
    </w:p>
    <w:p>
      <w:pPr>
        <w:pStyle w:val="Normal"/>
        <w:keepNext w:val="true"/>
        <w:spacing w:before="160" w:after="120"/>
        <w:jc w:val="center"/>
        <w:rPr/>
      </w:pPr>
      <w:r>
        <w:rPr>
          <w:b/>
          <w:sz w:val="22"/>
        </w:rPr>
        <w:t>5. OBYEKTNING TAYYORLIGI VA MONTAJ</w:t>
      </w:r>
    </w:p>
    <w:p>
      <w:pPr>
        <w:pStyle w:val="Normal"/>
        <w:spacing w:lineRule="auto" w:line="259" w:before="0" w:after="80"/>
        <w:rPr/>
      </w:pPr>
      <w:r>
        <w:rPr>
          <w:b/>
        </w:rPr>
        <w:t xml:space="preserve">5.1. </w:t>
      </w:r>
      <w:r>
        <w:rPr/>
        <w:t>Buyurtmachi montaj kuniga obyektni bo‘sh, xavfsiz va ishga tayyor holatda taqdim etadi: elektr, yoritish, suv-gaz quvurlari, devor/pol, plintus, lift, kirish yo‘li va boshqa sharoitlar oldindan ma’lum qilinadi.</w:t>
      </w:r>
    </w:p>
    <w:p>
      <w:pPr>
        <w:pStyle w:val="Normal"/>
        <w:spacing w:lineRule="auto" w:line="259" w:before="0" w:after="80"/>
        <w:rPr/>
      </w:pPr>
      <w:r>
        <w:rPr>
          <w:b/>
        </w:rPr>
        <w:t xml:space="preserve">5.2. </w:t>
      </w:r>
      <w:r>
        <w:rPr/>
        <w:t>Devor, pol yoki shipning qiyshiqligi, yashirin elektr/suv quvurlari, namlik, qurilish ishlari tugallanmaganligi sababli qo‘shimcha ishlar yuzaga kelsa, ular alohida kelishuv va haq asosida bajariladi.</w:t>
      </w:r>
    </w:p>
    <w:p>
      <w:pPr>
        <w:pStyle w:val="Normal"/>
        <w:spacing w:lineRule="auto" w:line="259" w:before="0" w:after="80"/>
        <w:rPr/>
      </w:pPr>
      <w:r>
        <w:rPr>
          <w:b/>
        </w:rPr>
        <w:t xml:space="preserve">5.3. </w:t>
      </w:r>
      <w:r>
        <w:rPr/>
        <w:t>Buyurtmachi Pudratchiga obyektga kirish, yuk tushirish va montaj qilish uchun zarur ruxsat va sharoitni yaratadi. Bekor turish va takroriy chiqish xarajatlari Buyurtmachi hisobidan undirilishi mumkin.</w:t>
      </w:r>
    </w:p>
    <w:p>
      <w:pPr>
        <w:pStyle w:val="Normal"/>
        <w:keepNext w:val="true"/>
        <w:spacing w:before="160" w:after="120"/>
        <w:jc w:val="center"/>
        <w:rPr/>
      </w:pPr>
      <w:r>
        <w:rPr>
          <w:b/>
          <w:sz w:val="22"/>
        </w:rPr>
        <w:t>6. SIFAT VA KAFOLAT</w:t>
      </w:r>
    </w:p>
    <w:p>
      <w:pPr>
        <w:pStyle w:val="Normal"/>
        <w:spacing w:lineRule="auto" w:line="259" w:before="0" w:after="80"/>
        <w:rPr/>
      </w:pPr>
      <w:r>
        <w:rPr>
          <w:b/>
        </w:rPr>
        <w:t xml:space="preserve">6.1. </w:t>
      </w:r>
      <w:r>
        <w:rPr/>
        <w:t>Mebel tasdiqlangan chizma, texnik topshiriq, material xususiyatlari va amaldagi majburiy talablar asosida tayyorlanadi.</w:t>
      </w:r>
    </w:p>
    <w:p>
      <w:pPr>
        <w:pStyle w:val="Normal"/>
        <w:spacing w:lineRule="auto" w:line="259" w:before="0" w:after="80"/>
        <w:rPr/>
      </w:pPr>
      <w:r>
        <w:rPr>
          <w:b/>
        </w:rPr>
        <w:t xml:space="preserve">6.2. </w:t>
      </w:r>
      <w:r>
        <w:rPr/>
        <w:t>Kafolat muddati: ______ oy/yil, qabul-topshirish dalolatnomasi imzolangan kundan boshlanadi.</w:t>
      </w:r>
    </w:p>
    <w:p>
      <w:pPr>
        <w:pStyle w:val="Normal"/>
        <w:spacing w:lineRule="auto" w:line="259" w:before="0" w:after="80"/>
        <w:rPr/>
      </w:pPr>
      <w:r>
        <w:rPr>
          <w:b/>
        </w:rPr>
        <w:t xml:space="preserve">6.3. </w:t>
      </w:r>
      <w:r>
        <w:rPr/>
        <w:t>Kafolat davrida Pudratchiga bog‘liq ishlab chiqarish yoki montaj nuqsonlari yozma murojaat olinganidan so‘ng holatning murakkabligiga qarab, odatda 10 ish kuni ichida ko‘rib chiqiladi va kelishilgan muddatda bartaraf etiladi.</w:t>
      </w:r>
    </w:p>
    <w:p>
      <w:pPr>
        <w:pStyle w:val="Normal"/>
        <w:spacing w:lineRule="auto" w:line="259" w:before="0" w:after="80"/>
        <w:rPr/>
      </w:pPr>
      <w:r>
        <w:rPr>
          <w:b/>
        </w:rPr>
        <w:t xml:space="preserve">6.4. </w:t>
      </w:r>
      <w:r>
        <w:rPr/>
        <w:t>Kafolat quyidagilarga tatbiq etilmaydi:</w:t>
      </w:r>
    </w:p>
    <w:p>
      <w:pPr>
        <w:pStyle w:val="ListBullet"/>
        <w:numPr>
          <w:ilvl w:val="0"/>
          <w:numId w:val="1"/>
        </w:numPr>
        <w:spacing w:before="0" w:after="40"/>
        <w:contextualSpacing/>
        <w:rPr/>
      </w:pPr>
      <w:r>
        <w:rPr/>
        <w:t>noto‘g‘ri foydalanish, ortiqcha yuklama yoki parvarish qoidalariga rioya qilmaslik;</w:t>
      </w:r>
    </w:p>
    <w:p>
      <w:pPr>
        <w:pStyle w:val="ListBullet"/>
        <w:numPr>
          <w:ilvl w:val="0"/>
          <w:numId w:val="1"/>
        </w:numPr>
        <w:spacing w:before="0" w:after="40"/>
        <w:contextualSpacing/>
        <w:rPr/>
      </w:pPr>
      <w:r>
        <w:rPr/>
        <w:t>suv, yuqori namlik, bug‘, issiqlik, quyosh nuri yoki kimyoviy vositalarning zararli ta’siri;</w:t>
      </w:r>
    </w:p>
    <w:p>
      <w:pPr>
        <w:pStyle w:val="ListBullet"/>
        <w:numPr>
          <w:ilvl w:val="0"/>
          <w:numId w:val="1"/>
        </w:numPr>
        <w:spacing w:before="0" w:after="40"/>
        <w:contextualSpacing/>
        <w:rPr/>
      </w:pPr>
      <w:r>
        <w:rPr/>
        <w:t>mexanik shikast, Buyurtmachi yoki uchinchi shaxs tomonidan qayta o‘rnatish/ta’mirlash;</w:t>
      </w:r>
    </w:p>
    <w:p>
      <w:pPr>
        <w:pStyle w:val="ListBullet"/>
        <w:numPr>
          <w:ilvl w:val="0"/>
          <w:numId w:val="1"/>
        </w:numPr>
        <w:spacing w:before="0" w:after="40"/>
        <w:contextualSpacing/>
        <w:rPr/>
      </w:pPr>
      <w:r>
        <w:rPr/>
        <w:t>bino konstruksiyasining siljishi, devor/polning namlanishi yoki kommunikatsiya avariyasi;</w:t>
      </w:r>
    </w:p>
    <w:p>
      <w:pPr>
        <w:pStyle w:val="ListBullet"/>
        <w:numPr>
          <w:ilvl w:val="0"/>
          <w:numId w:val="1"/>
        </w:numPr>
        <w:spacing w:before="0" w:after="40"/>
        <w:contextualSpacing/>
        <w:rPr/>
      </w:pPr>
      <w:r>
        <w:rPr/>
        <w:t>tabiiy eskirish va sarflanadigan qismlar, agar alohida kafolat berilmagan bo‘lsa.</w:t>
      </w:r>
    </w:p>
    <w:p>
      <w:pPr>
        <w:pStyle w:val="Normal"/>
        <w:spacing w:lineRule="auto" w:line="259" w:before="0" w:after="80"/>
        <w:rPr/>
      </w:pPr>
      <w:r>
        <w:rPr>
          <w:b/>
        </w:rPr>
        <w:t xml:space="preserve">6.5. </w:t>
      </w:r>
      <w:r>
        <w:rPr/>
        <w:t>Ko‘rinadigan nuqsonlar qabul-topshirish dalolatnomasida qayd etiladi. Yashirin nuqsonlar aniqlanganda Buyurtmachi fotosurat/video va tavsif bilan oqilona muddatda Pudratchiga xabar beradi.</w:t>
      </w:r>
    </w:p>
    <w:p>
      <w:pPr>
        <w:pStyle w:val="Normal"/>
        <w:keepNext w:val="true"/>
        <w:spacing w:before="160" w:after="120"/>
        <w:jc w:val="center"/>
        <w:rPr/>
      </w:pPr>
      <w:r>
        <w:rPr>
          <w:b/>
          <w:sz w:val="22"/>
        </w:rPr>
        <w:t>7. TOPSHIRISH, YETKAZISH VA QABUL QILISH</w:t>
      </w:r>
    </w:p>
    <w:p>
      <w:pPr>
        <w:pStyle w:val="Normal"/>
        <w:spacing w:lineRule="auto" w:line="259" w:before="0" w:after="80"/>
        <w:rPr/>
      </w:pPr>
      <w:r>
        <w:rPr>
          <w:b/>
        </w:rPr>
        <w:t xml:space="preserve">7.1. </w:t>
      </w:r>
      <w:r>
        <w:rPr/>
        <w:t>Pudratchi mebel tayyor bo‘lgani haqida Buyurtmachiga telefon, SMS, messenjer yoki dastur orqali xabar beradi.</w:t>
      </w:r>
    </w:p>
    <w:p>
      <w:pPr>
        <w:pStyle w:val="Normal"/>
        <w:spacing w:lineRule="auto" w:line="259" w:before="0" w:after="80"/>
        <w:rPr/>
      </w:pPr>
      <w:r>
        <w:rPr>
          <w:b/>
        </w:rPr>
        <w:t xml:space="preserve">7.2. </w:t>
      </w:r>
      <w:r>
        <w:rPr/>
        <w:t>Yetkazish manzili: __________________________________________. Mo‘ljal: ____________________. Qavat: _____. Lift: bor/yo‘q. Katta transport kirishi: mumkin/mumkin emas.</w:t>
      </w:r>
    </w:p>
    <w:p>
      <w:pPr>
        <w:pStyle w:val="Normal"/>
        <w:spacing w:lineRule="auto" w:line="259" w:before="0" w:after="80"/>
        <w:rPr/>
      </w:pPr>
      <w:r>
        <w:rPr>
          <w:b/>
        </w:rPr>
        <w:t xml:space="preserve">7.3. </w:t>
      </w:r>
      <w:r>
        <w:rPr/>
        <w:t>Qabul qilishda tomonlar qabul-topshirish dalolatnomasini imzolaydi. Buyurtmachi asossiz ravishda qabul qilishdan bosh tortsa yoki kelishilgan vaqtda obyektni ochmasa, takroriy yetkazish va saqlash xarajatlari Buyurtmachi zimmasiga yuklanadi.</w:t>
      </w:r>
    </w:p>
    <w:p>
      <w:pPr>
        <w:pStyle w:val="Normal"/>
        <w:spacing w:lineRule="auto" w:line="259" w:before="0" w:after="80"/>
        <w:rPr/>
      </w:pPr>
      <w:r>
        <w:rPr>
          <w:b/>
        </w:rPr>
        <w:t xml:space="preserve">7.4. </w:t>
      </w:r>
      <w:r>
        <w:rPr/>
        <w:t>Mebel tayyorligi haqida xabar berilganidan keyin ______ kalendar kun bepul saqlanadi. Keyingi har bir kun uchun saqlash haqi ______ so‘m yoki shartnoma qiymatining ______ % miqdorida hisoblanadi.</w:t>
      </w:r>
    </w:p>
    <w:p>
      <w:pPr>
        <w:pStyle w:val="Normal"/>
        <w:spacing w:lineRule="auto" w:line="259" w:before="0" w:after="80"/>
        <w:rPr/>
      </w:pPr>
      <w:r>
        <w:rPr>
          <w:b/>
        </w:rPr>
        <w:t xml:space="preserve">7.5. </w:t>
      </w:r>
      <w:r>
        <w:rPr/>
        <w:t>Pudratchi yakuniy to‘lov to‘liq amalga oshirilmaguncha mebelni topshirmaslikka haqli. Mulk huquqi to‘liq to‘lov va qabul-topshirish dalolatnomasi imzolangandan so‘ng Buyurtmachiga o‘tadi.</w:t>
      </w:r>
    </w:p>
    <w:p>
      <w:pPr>
        <w:pStyle w:val="Normal"/>
        <w:keepNext w:val="true"/>
        <w:spacing w:before="160" w:after="120"/>
        <w:jc w:val="center"/>
        <w:rPr/>
      </w:pPr>
      <w:r>
        <w:rPr>
          <w:b/>
          <w:sz w:val="22"/>
        </w:rPr>
        <w:t>8. BUYURTMANI O‘ZGARTIRISH, TO‘XTATISH VA BEKOR QILISH</w:t>
      </w:r>
    </w:p>
    <w:p>
      <w:pPr>
        <w:pStyle w:val="Normal"/>
        <w:spacing w:lineRule="auto" w:line="259" w:before="0" w:after="80"/>
        <w:rPr/>
      </w:pPr>
      <w:r>
        <w:rPr>
          <w:b/>
        </w:rPr>
        <w:t xml:space="preserve">8.1. </w:t>
      </w:r>
      <w:r>
        <w:rPr/>
        <w:t>Buyurtmachi ish yakunlanishidan oldin shartnomadan voz kechishi mumkin, bunda Pudratchining shu vaqtgacha bajargan ishlari, sotib olingan individual materiallari, qaytarilmaydigan buyurtmalari va hujjat bilan tasdiqlangan xarajatlarini to‘laydi.</w:t>
      </w:r>
    </w:p>
    <w:p>
      <w:pPr>
        <w:pStyle w:val="Normal"/>
        <w:spacing w:lineRule="auto" w:line="259" w:before="0" w:after="80"/>
        <w:rPr/>
      </w:pPr>
      <w:r>
        <w:rPr>
          <w:b/>
        </w:rPr>
        <w:t xml:space="preserve">8.2. </w:t>
      </w:r>
      <w:r>
        <w:rPr/>
        <w:t>Avansdan 8.1-banddagi xarajatlar ushlab qolinadi. Qoldiq mavjud bo‘lsa, hisob-kitob tasdiqlanganidan keyin ______ bank ish kuni ichida Buyurtmachiga qaytariladi; xarajatlar avansdan oshsa, Buyurtmachi farqni to‘laydi.</w:t>
      </w:r>
    </w:p>
    <w:p>
      <w:pPr>
        <w:pStyle w:val="Normal"/>
        <w:spacing w:lineRule="auto" w:line="259" w:before="0" w:after="80"/>
        <w:rPr/>
      </w:pPr>
      <w:r>
        <w:rPr>
          <w:b/>
        </w:rPr>
        <w:t xml:space="preserve">8.3. </w:t>
      </w:r>
      <w:r>
        <w:rPr/>
        <w:t>Buyurtma vaqtincha to‘xtatilsa, to‘xtatish sababi, saqlash sharti va yangi muddat yozma qo‘shimcha kelishuvda belgilanadi.</w:t>
      </w:r>
    </w:p>
    <w:p>
      <w:pPr>
        <w:pStyle w:val="Normal"/>
        <w:spacing w:lineRule="auto" w:line="259" w:before="0" w:after="80"/>
        <w:rPr/>
      </w:pPr>
      <w:r>
        <w:rPr>
          <w:b/>
        </w:rPr>
        <w:t xml:space="preserve">8.4. </w:t>
      </w:r>
      <w:r>
        <w:rPr/>
        <w:t>Individual o‘lcham va dizayn bo‘yicha ishlab chiqarilgan, qayta sotish imkoniyati cheklangan mahsulotlar nuqsonsiz bo‘lsa, oddiy fikr o‘zgarishi sababli qaytarilmaydi; bunda iste’molchining qonunda nazarda tutilgan huquqlari cheklanmaydi.</w:t>
      </w:r>
    </w:p>
    <w:p>
      <w:pPr>
        <w:pStyle w:val="Normal"/>
        <w:keepNext w:val="true"/>
        <w:spacing w:before="160" w:after="120"/>
        <w:jc w:val="center"/>
        <w:rPr/>
      </w:pPr>
      <w:r>
        <w:rPr>
          <w:b/>
          <w:sz w:val="22"/>
        </w:rPr>
        <w:t>9. TOMONLARNING HUQUQ VA MAJBURIYATLARI</w:t>
      </w:r>
    </w:p>
    <w:p>
      <w:pPr>
        <w:pStyle w:val="Normal"/>
        <w:spacing w:lineRule="auto" w:line="259" w:before="0" w:after="80"/>
        <w:rPr/>
      </w:pPr>
      <w:r>
        <w:rPr>
          <w:b/>
        </w:rPr>
        <w:t xml:space="preserve">9.1. </w:t>
      </w:r>
      <w:r>
        <w:rPr/>
        <w:t>Pudratchi: ishni kelishilgan sifat va muddatda bajaradi; materiallar haqida haqqoniy ma’lumot beradi; Buyurtmachining mulkini ehtiyot qiladi; muhim holatlar haqida xabar beradi.</w:t>
      </w:r>
    </w:p>
    <w:p>
      <w:pPr>
        <w:pStyle w:val="Normal"/>
        <w:spacing w:lineRule="auto" w:line="259" w:before="0" w:after="80"/>
        <w:rPr/>
      </w:pPr>
      <w:r>
        <w:rPr>
          <w:b/>
        </w:rPr>
        <w:t xml:space="preserve">9.2. </w:t>
      </w:r>
      <w:r>
        <w:rPr/>
        <w:t>Buyurtmachi: to‘lovlarni vaqtida amalga oshiradi; chizma va materialni o‘z vaqtida tasdiqlaydi; obyektga kirish va montaj sharoitini yaratadi; tayyor mahsulotni kelishilgan vaqtda qabul qiladi.</w:t>
      </w:r>
    </w:p>
    <w:p>
      <w:pPr>
        <w:pStyle w:val="Normal"/>
        <w:spacing w:lineRule="auto" w:line="259" w:before="0" w:after="80"/>
        <w:rPr/>
      </w:pPr>
      <w:r>
        <w:rPr>
          <w:b/>
        </w:rPr>
        <w:t xml:space="preserve">9.3. </w:t>
      </w:r>
      <w:r>
        <w:rPr/>
        <w:t>Tomonlarning barcha muhim kelishuvlari yozma shaklda, shu jumladan elektron xabar, messenjer yozishmasi, SMS-kod yoki dasturdagi tasdiq orqali rasmiylashtirilishi mumkin.</w:t>
      </w:r>
    </w:p>
    <w:p>
      <w:pPr>
        <w:pStyle w:val="Normal"/>
        <w:keepNext w:val="true"/>
        <w:spacing w:before="160" w:after="120"/>
        <w:jc w:val="center"/>
        <w:rPr/>
      </w:pPr>
      <w:r>
        <w:rPr>
          <w:b/>
          <w:sz w:val="22"/>
        </w:rPr>
        <w:t>10. JAVOBGARLIK VA NIZOLARNI HAL QILISH</w:t>
      </w:r>
    </w:p>
    <w:p>
      <w:pPr>
        <w:pStyle w:val="Normal"/>
        <w:spacing w:lineRule="auto" w:line="259" w:before="0" w:after="80"/>
        <w:rPr/>
      </w:pPr>
      <w:r>
        <w:rPr>
          <w:b/>
        </w:rPr>
        <w:t xml:space="preserve">10.1. </w:t>
      </w:r>
      <w:r>
        <w:rPr/>
        <w:t>Tomonlar shartnoma majburiyatlarini bajarmaganligi yoki lozim darajada bajarmaganligi uchun amaldagi qonunchilik va ushbu shartnoma asosida javobgar bo‘ladi.</w:t>
      </w:r>
    </w:p>
    <w:p>
      <w:pPr>
        <w:pStyle w:val="Normal"/>
        <w:spacing w:lineRule="auto" w:line="259" w:before="0" w:after="80"/>
        <w:rPr/>
      </w:pPr>
      <w:r>
        <w:rPr>
          <w:b/>
        </w:rPr>
        <w:t xml:space="preserve">10.2. </w:t>
      </w:r>
      <w:r>
        <w:rPr/>
        <w:t>Buyurtmachi to‘lovni yoki qabul qilishni kechiktirsa, Pudratchining asoslangan saqlash, transport, qayta chiqish va boshqa bevosita xarajatlarini qoplaydi.</w:t>
      </w:r>
    </w:p>
    <w:p>
      <w:pPr>
        <w:pStyle w:val="Normal"/>
        <w:spacing w:lineRule="auto" w:line="259" w:before="0" w:after="80"/>
        <w:rPr/>
      </w:pPr>
      <w:r>
        <w:rPr>
          <w:b/>
        </w:rPr>
        <w:t xml:space="preserve">10.3. </w:t>
      </w:r>
      <w:r>
        <w:rPr/>
        <w:t>Nizo yuzaga kelganda tomonlar avval yozma talabnoma va muzokara orqali hal qilishga harakat qiladi. Javob muddati — talabnoma olingan kundan boshlab 15 ish kuni.</w:t>
      </w:r>
    </w:p>
    <w:p>
      <w:pPr>
        <w:pStyle w:val="Normal"/>
        <w:spacing w:lineRule="auto" w:line="259" w:before="0" w:after="80"/>
        <w:rPr/>
      </w:pPr>
      <w:r>
        <w:rPr>
          <w:b/>
        </w:rPr>
        <w:t xml:space="preserve">10.4. </w:t>
      </w:r>
      <w:r>
        <w:rPr/>
        <w:t>Kelishuvga erishilmasa, nizo O‘zbekiston Respublikasining amaldagi qonunchiligiga muvofiq Pudratchi joylashgan hudud / Buyurtmachi joylashgan hudud (keraklisi belgilanadi) bo‘yicha vakolatli sudda ko‘rib chiqiladi. Buyurtmachi jismoniy shaxs sifatida iste’molchilarning huquqlarini himoya qilish to‘g‘risidagi qonunchilikda nazarda tutilgan sudga murojaat qilish huquqidan foydalanishi mumkin.</w:t>
      </w:r>
    </w:p>
    <w:p>
      <w:pPr>
        <w:pStyle w:val="Normal"/>
        <w:keepNext w:val="true"/>
        <w:spacing w:before="160" w:after="120"/>
        <w:jc w:val="center"/>
        <w:rPr/>
      </w:pPr>
      <w:r>
        <w:rPr>
          <w:b/>
          <w:sz w:val="22"/>
        </w:rPr>
        <w:t>11. FORS-MAJOR</w:t>
      </w:r>
    </w:p>
    <w:p>
      <w:pPr>
        <w:pStyle w:val="Normal"/>
        <w:spacing w:lineRule="auto" w:line="259" w:before="0" w:after="80"/>
        <w:rPr/>
      </w:pPr>
      <w:r>
        <w:rPr>
          <w:b/>
        </w:rPr>
        <w:t xml:space="preserve">11.1. </w:t>
      </w:r>
      <w:r>
        <w:rPr/>
        <w:t>Tomonlarning oqilona nazoratidan tashqaridagi va oldindan ko‘rib bo‘lmaydigan holatlar majburiyatni bajarishga to‘sqinlik qilsa, ta’sirlangan tomon javobgarlikdan holat ta’siri doirasida ozod qilinadi.</w:t>
      </w:r>
    </w:p>
    <w:p>
      <w:pPr>
        <w:pStyle w:val="Normal"/>
        <w:spacing w:lineRule="auto" w:line="259" w:before="0" w:after="80"/>
        <w:rPr/>
      </w:pPr>
      <w:r>
        <w:rPr>
          <w:b/>
        </w:rPr>
        <w:t xml:space="preserve">11.2. </w:t>
      </w:r>
      <w:r>
        <w:rPr/>
        <w:t>Ta’sirlangan tomon imkon qadar tez, lekin odatda 5 ish kuni ichida boshqa tomonni xabardor qiladi va mavjud tasdiqlovchi hujjatlarni taqdim etadi.</w:t>
      </w:r>
    </w:p>
    <w:p>
      <w:pPr>
        <w:pStyle w:val="Normal"/>
        <w:spacing w:lineRule="auto" w:line="259" w:before="0" w:after="80"/>
        <w:rPr/>
      </w:pPr>
      <w:r>
        <w:rPr>
          <w:b/>
        </w:rPr>
        <w:t xml:space="preserve">11.3. </w:t>
      </w:r>
      <w:r>
        <w:rPr/>
        <w:t>Fors-major holati 30 kalendar kundan ortiq uzluksiz davom etsa, har bir tomon ikkinchi tomonga yozma xabar berib, shartnomani bir tomonlama bekor qilishga haqli. Bunday holda tomonlar 8.1–8.2-bandlarda nazarda tutilgan tartibda hisob-kitob qiladi.</w:t>
      </w:r>
    </w:p>
    <w:p>
      <w:pPr>
        <w:pStyle w:val="Normal"/>
        <w:keepNext w:val="true"/>
        <w:spacing w:before="160" w:after="120"/>
        <w:jc w:val="center"/>
        <w:rPr/>
      </w:pPr>
      <w:r>
        <w:rPr>
          <w:b/>
          <w:sz w:val="22"/>
        </w:rPr>
        <w:t>12. MAXFIYLIK, FOTO-VIDEO VA SHAXSIY MA’LUMOTLAR</w:t>
      </w:r>
    </w:p>
    <w:p>
      <w:pPr>
        <w:pStyle w:val="Normal"/>
        <w:spacing w:lineRule="auto" w:line="259" w:before="0" w:after="80"/>
        <w:rPr/>
      </w:pPr>
      <w:r>
        <w:rPr>
          <w:b/>
        </w:rPr>
        <w:t xml:space="preserve">12.1. </w:t>
      </w:r>
      <w:r>
        <w:rPr/>
        <w:t>Tomonlar shartnomani bajarish, hisob-kitob va yetkazib berish maqsadida bir-birining F.I.Sh./tashkilot nomi, manzili, telefon raqami va boshqa shaxsiy ma’lumotlaridan foydalanishga rozilik bildiradilar. Ma’lumotlar faqat ushbu shartnoma doirasida qayta ishlanadi va uchinchi shaxslarga qonuniy asos bo‘lmagan holda berilmaydi. Ushbu ma’lumotlardan foydalanish O‘zbekiston Respublikasining “Shaxsiy ma’lumotlar to‘g‘risida”gi qonuniga muvofiq amalga oshiriladi.</w:t>
      </w:r>
    </w:p>
    <w:p>
      <w:pPr>
        <w:pStyle w:val="Normal"/>
        <w:spacing w:lineRule="auto" w:line="259" w:before="0" w:after="80"/>
        <w:rPr/>
      </w:pPr>
      <w:r>
        <w:rPr>
          <w:b/>
        </w:rPr>
        <w:t xml:space="preserve">12.2. </w:t>
      </w:r>
      <w:r>
        <w:rPr/>
        <w:t>Tayyor mahsulotning mijoz shaxsini va aniq manzilini oshkor qilmaydigan foto/video materiallarini reklama uchun joylashtirish: ruxsat beraman / ruxsat bermayman (keraklisi belgilanadi).</w:t>
      </w:r>
    </w:p>
    <w:p>
      <w:pPr>
        <w:pStyle w:val="Normal"/>
        <w:keepNext w:val="true"/>
        <w:spacing w:before="160" w:after="120"/>
        <w:jc w:val="center"/>
        <w:rPr/>
      </w:pPr>
      <w:r>
        <w:rPr>
          <w:b/>
          <w:sz w:val="22"/>
        </w:rPr>
        <w:t>13. YAKUNIY QOIDALAR</w:t>
      </w:r>
    </w:p>
    <w:p>
      <w:pPr>
        <w:pStyle w:val="Normal"/>
        <w:spacing w:lineRule="auto" w:line="259" w:before="0" w:after="80"/>
        <w:rPr/>
      </w:pPr>
      <w:r>
        <w:rPr>
          <w:b/>
        </w:rPr>
        <w:t xml:space="preserve">13.1. </w:t>
      </w:r>
      <w:r>
        <w:rPr/>
        <w:t>Shartnoma imzolangan kundan kuchga kiradi va tomonlar majburiyatlari to‘liq bajarilgunga qadar amal qiladi.</w:t>
      </w:r>
    </w:p>
    <w:p>
      <w:pPr>
        <w:pStyle w:val="Normal"/>
        <w:spacing w:lineRule="auto" w:line="259" w:before="0" w:after="80"/>
        <w:rPr/>
      </w:pPr>
      <w:r>
        <w:rPr>
          <w:b/>
        </w:rPr>
        <w:t xml:space="preserve">13.2. </w:t>
      </w:r>
      <w:r>
        <w:rPr/>
        <w:t>Shartnomaning ajralmas ilovalari: 1) texnik topshiriq va materiallar jadvali; 2) tasdiqlangan eskiz/chizma; 3) to‘lov hujjatlari; 4) qo‘shimcha ishlar kelishuvi; 5) qabul-topshirish dalolatnomasi; 6) kafolat taloni (mavjud bo‘lsa).</w:t>
      </w:r>
    </w:p>
    <w:p>
      <w:pPr>
        <w:pStyle w:val="Normal"/>
        <w:spacing w:lineRule="auto" w:line="259" w:before="0" w:after="80"/>
        <w:rPr/>
      </w:pPr>
      <w:r>
        <w:rPr>
          <w:b/>
        </w:rPr>
        <w:t xml:space="preserve">13.3. </w:t>
      </w:r>
      <w:r>
        <w:rPr/>
        <w:t>Shartnoma ikki nusxada yoki qonuniy elektron shaklda tuziladi. Har ikki nusxa bir xil yuridik kuchga ega.</w:t>
      </w:r>
    </w:p>
    <w:p>
      <w:pPr>
        <w:pStyle w:val="Normal"/>
        <w:spacing w:lineRule="auto" w:line="259" w:before="0" w:after="80"/>
        <w:rPr/>
      </w:pPr>
      <w:r>
        <w:rPr>
          <w:b/>
        </w:rPr>
        <w:t xml:space="preserve">13.4. </w:t>
      </w:r>
      <w:r>
        <w:rPr/>
        <w:t>Pudratchining ish vaqti: 09:00–18:00. Dam olish kuni yoki ish vaqtidan tashqari yuborilgan murojaatga keyingi ish kunida javob berilishi mumkin.</w:t>
      </w:r>
    </w:p>
    <w:p>
      <w:pPr>
        <w:pStyle w:val="Normal"/>
        <w:spacing w:lineRule="auto" w:line="259" w:before="0" w:after="80"/>
        <w:rPr/>
      </w:pPr>
      <w:r>
        <w:rPr>
          <w:b/>
        </w:rPr>
        <w:t xml:space="preserve">13.5. </w:t>
      </w:r>
      <w:r>
        <w:rPr/>
        <w:t>Shartnoma o‘zbek tilida tuziladi. Zarurat bo‘lsa, boshqa tilga tarjima qilinishi mumkin; matnlar o‘rtasida tafovut yuzaga kelsa, o‘zbek tilidagi matn ustuvor hisoblanadi.</w:t>
      </w:r>
    </w:p>
    <w:p>
      <w:pPr>
        <w:pStyle w:val="Normal"/>
        <w:keepNext w:val="true"/>
        <w:spacing w:before="160" w:after="120"/>
        <w:jc w:val="center"/>
        <w:rPr/>
      </w:pPr>
      <w:r>
        <w:rPr>
          <w:b/>
          <w:sz w:val="22"/>
        </w:rPr>
        <w:t>14. TOMONLARNING REKVIZITLARI VA IMZOLARI</w:t>
      </w:r>
    </w:p>
    <w:tbl>
      <w:tblPr>
        <w:tblStyle w:val="TableGrid"/>
        <w:tblW w:w="10200"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5100"/>
        <w:gridCol w:w="5099"/>
      </w:tblGrid>
      <w:tr>
        <w:trPr/>
        <w:tc>
          <w:tcPr>
            <w:tcW w:w="5100" w:type="dxa"/>
            <w:tcBorders/>
          </w:tcPr>
          <w:p>
            <w:pPr>
              <w:pStyle w:val="Normal"/>
              <w:widowControl/>
              <w:spacing w:lineRule="auto" w:line="240" w:before="0" w:after="60"/>
              <w:jc w:val="left"/>
              <w:rPr>
                <w:rFonts w:cs=""/>
                <w:kern w:val="0"/>
                <w:szCs w:val="22"/>
                <w:lang w:val="en-US" w:eastAsia="en-US" w:bidi="ar-SA"/>
              </w:rPr>
            </w:pPr>
            <w:r>
              <w:rPr>
                <w:rFonts w:cs=""/>
                <w:b/>
                <w:kern w:val="0"/>
                <w:szCs w:val="22"/>
                <w:lang w:val="en-US" w:eastAsia="en-US" w:bidi="ar-SA"/>
              </w:rPr>
              <w:t>PUDRATCHI</w:t>
              <w:br/>
              <w:t>Tashkilot/YTT: __________________________</w:t>
              <w:br/>
              <w:t>STIR: __________________________________</w:t>
              <w:br/>
              <w:t>Manzil: ________________________________</w:t>
              <w:br/>
              <w:t>Telefon: _______________________________</w:t>
              <w:br/>
              <w:t>Hisob raqami: __________________________</w:t>
              <w:br/>
              <w:t>Bank/MFO: ______________________________</w:t>
              <w:br/>
              <w:t>Rahbar: ________________________________</w:t>
              <w:br/>
              <w:t>Imzo: ____________________   M.O.</w:t>
            </w:r>
          </w:p>
        </w:tc>
        <w:tc>
          <w:tcPr>
            <w:tcW w:w="5099" w:type="dxa"/>
            <w:tcBorders/>
          </w:tcPr>
          <w:p>
            <w:pPr>
              <w:pStyle w:val="Normal"/>
              <w:widowControl/>
              <w:spacing w:lineRule="auto" w:line="240" w:before="0" w:after="60"/>
              <w:jc w:val="left"/>
              <w:rPr>
                <w:rFonts w:cs=""/>
                <w:kern w:val="0"/>
                <w:szCs w:val="22"/>
                <w:lang w:val="en-US" w:eastAsia="en-US" w:bidi="ar-SA"/>
              </w:rPr>
            </w:pPr>
            <w:r>
              <w:rPr>
                <w:rFonts w:cs=""/>
                <w:b/>
                <w:kern w:val="0"/>
                <w:szCs w:val="22"/>
                <w:lang w:val="en-US" w:eastAsia="en-US" w:bidi="ar-SA"/>
              </w:rPr>
              <w:t>BUYURTMACHI</w:t>
              <w:br/>
              <w:t>F.I.Sh.: _______________________________</w:t>
              <w:br/>
              <w:t>Pasport/ID: ____________________________</w:t>
              <w:br/>
              <w:t>Manzil: ________________________________</w:t>
              <w:br/>
              <w:t>Telefon: _______________________________</w:t>
              <w:br/>
              <w:t>To‘lov rekviziti (ixtiyoriy): __________</w:t>
              <w:br/>
              <w:br/>
              <w:t>Imzo: _________________________________</w:t>
            </w:r>
          </w:p>
        </w:tc>
      </w:tr>
    </w:tbl>
    <w:p>
      <w:pPr>
        <w:pStyle w:val="Normal"/>
        <w:rPr/>
      </w:pPr>
      <w:r>
        <w:rPr/>
      </w:r>
      <w:r>
        <w:br w:type="page"/>
      </w:r>
    </w:p>
    <w:p>
      <w:pPr>
        <w:pStyle w:val="Normal"/>
        <w:spacing w:before="0" w:after="60"/>
        <w:jc w:val="center"/>
        <w:rPr/>
      </w:pPr>
      <w:r>
        <w:rPr>
          <w:b/>
          <w:sz w:val="26"/>
        </w:rPr>
        <w:t>1-ILOVA. TEXNIK TOPSHIRIQ VA MATERIALLAR</w:t>
      </w:r>
    </w:p>
    <w:p>
      <w:pPr>
        <w:pStyle w:val="Normal"/>
        <w:spacing w:lineRule="auto" w:line="259" w:before="0" w:after="80"/>
        <w:rPr/>
      </w:pPr>
      <w:r>
        <w:rPr>
          <w:b/>
        </w:rPr>
        <w:t xml:space="preserve">1. </w:t>
      </w:r>
      <w:r>
        <w:rPr/>
        <w:t>Buyurtma kodi: ____________________    Shartnoma №: ____________________</w:t>
      </w:r>
    </w:p>
    <w:p>
      <w:pPr>
        <w:pStyle w:val="Normal"/>
        <w:spacing w:lineRule="auto" w:line="259" w:before="0" w:after="80"/>
        <w:rPr/>
      </w:pPr>
      <w:r>
        <w:rPr>
          <w:b/>
        </w:rPr>
        <w:t xml:space="preserve">2. </w:t>
      </w:r>
      <w:r>
        <w:rPr/>
        <w:t>Mebel turi va xonasi: __________________________________________________________</w:t>
      </w:r>
    </w:p>
    <w:p>
      <w:pPr>
        <w:pStyle w:val="Normal"/>
        <w:spacing w:lineRule="auto" w:line="259" w:before="0" w:after="80"/>
        <w:rPr/>
      </w:pPr>
      <w:r>
        <w:rPr>
          <w:b/>
        </w:rPr>
        <w:t xml:space="preserve">3. </w:t>
      </w:r>
      <w:r>
        <w:rPr/>
        <w:t>Asosiy material: __________________; qalinligi: ______ mm; ishlab chiqaruvchi: __________________</w:t>
      </w:r>
    </w:p>
    <w:p>
      <w:pPr>
        <w:pStyle w:val="Normal"/>
        <w:spacing w:lineRule="auto" w:line="259" w:before="0" w:after="80"/>
        <w:rPr/>
      </w:pPr>
      <w:r>
        <w:rPr>
          <w:b/>
        </w:rPr>
        <w:t xml:space="preserve">4. </w:t>
      </w:r>
      <w:r>
        <w:rPr/>
        <w:t>Fasad/material: __________________; rang/kod: __________________; faktura: __________________</w:t>
      </w:r>
    </w:p>
    <w:p>
      <w:pPr>
        <w:pStyle w:val="Normal"/>
        <w:spacing w:lineRule="auto" w:line="259" w:before="0" w:after="80"/>
        <w:rPr/>
      </w:pPr>
      <w:r>
        <w:rPr>
          <w:b/>
        </w:rPr>
        <w:t xml:space="preserve">5. </w:t>
      </w:r>
      <w:r>
        <w:rPr/>
        <w:t>Furnitura va mexanizmlar: _______________________________________________________</w:t>
      </w:r>
    </w:p>
    <w:p>
      <w:pPr>
        <w:pStyle w:val="Normal"/>
        <w:spacing w:lineRule="auto" w:line="259" w:before="0" w:after="80"/>
        <w:rPr/>
      </w:pPr>
      <w:r>
        <w:rPr>
          <w:b/>
        </w:rPr>
        <w:t xml:space="preserve">6. </w:t>
      </w:r>
      <w:r>
        <w:rPr/>
        <w:t>Oyna/profil/yoritish: ___________________________________________________________</w:t>
      </w:r>
    </w:p>
    <w:p>
      <w:pPr>
        <w:pStyle w:val="Normal"/>
        <w:spacing w:lineRule="auto" w:line="259" w:before="0" w:after="80"/>
        <w:rPr/>
      </w:pPr>
      <w:r>
        <w:rPr>
          <w:b/>
        </w:rPr>
        <w:t xml:space="preserve">7. </w:t>
      </w:r>
      <w:r>
        <w:rPr/>
        <w:t>Tutqich va boshqa aksessuarlar: _________________________________________________</w:t>
      </w:r>
    </w:p>
    <w:p>
      <w:pPr>
        <w:pStyle w:val="Normal"/>
        <w:spacing w:lineRule="auto" w:line="259" w:before="0" w:after="80"/>
        <w:rPr/>
      </w:pPr>
      <w:r>
        <w:rPr>
          <w:b/>
        </w:rPr>
        <w:t xml:space="preserve">8. </w:t>
      </w:r>
      <w:r>
        <w:rPr/>
        <w:t>Yetkazish va montaj shartlari: __________________________________________________</w:t>
      </w:r>
    </w:p>
    <w:p>
      <w:pPr>
        <w:pStyle w:val="Normal"/>
        <w:spacing w:lineRule="auto" w:line="259" w:before="0" w:after="80"/>
        <w:rPr/>
      </w:pPr>
      <w:r>
        <w:rPr>
          <w:b/>
        </w:rPr>
        <w:t xml:space="preserve">9. </w:t>
      </w:r>
      <w:r>
        <w:rPr/>
        <w:t>Qo‘shimcha izohlar: _____________________________________________________________</w:t>
      </w:r>
    </w:p>
    <w:p>
      <w:pPr>
        <w:pStyle w:val="Normal"/>
        <w:spacing w:before="160" w:after="120"/>
        <w:jc w:val="center"/>
        <w:rPr/>
      </w:pPr>
      <w:r>
        <w:rPr>
          <w:b/>
          <w:sz w:val="22"/>
        </w:rPr>
        <w:t>ESKIZ/CHIZMANI TASDIQLASH</w:t>
      </w:r>
    </w:p>
    <w:tbl>
      <w:tblPr>
        <w:tblStyle w:val="TableGrid"/>
        <w:tblW w:w="10200" w:type="dxa"/>
        <w:jc w:val="center"/>
        <w:tblInd w:w="0" w:type="dxa"/>
        <w:tblLayout w:type="fixed"/>
        <w:tblCellMar>
          <w:top w:w="90" w:type="dxa"/>
          <w:left w:w="90" w:type="dxa"/>
          <w:bottom w:w="90" w:type="dxa"/>
          <w:right w:w="90" w:type="dxa"/>
        </w:tblCellMar>
        <w:tblLook w:val="04a0" w:noHBand="0" w:noVBand="1" w:firstColumn="1" w:lastRow="0" w:lastColumn="0" w:firstRow="1"/>
      </w:tblPr>
      <w:tblGrid>
        <w:gridCol w:w="5100"/>
        <w:gridCol w:w="5099"/>
      </w:tblGrid>
      <w:tr>
        <w:trPr/>
        <w:tc>
          <w:tcPr>
            <w:tcW w:w="5100" w:type="dxa"/>
            <w:tcBorders/>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t>Buyurtmachi F.I.Sh.</w:t>
            </w:r>
          </w:p>
        </w:tc>
        <w:tc>
          <w:tcPr>
            <w:tcW w:w="5099" w:type="dxa"/>
            <w:tcBorders/>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t>____________________________</w:t>
            </w:r>
          </w:p>
        </w:tc>
      </w:tr>
      <w:tr>
        <w:trPr/>
        <w:tc>
          <w:tcPr>
            <w:tcW w:w="5100" w:type="dxa"/>
            <w:tcBorders/>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t>Tasdiqlash sanasi</w:t>
            </w:r>
          </w:p>
        </w:tc>
        <w:tc>
          <w:tcPr>
            <w:tcW w:w="5099" w:type="dxa"/>
            <w:tcBorders/>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t>“___” ____________ 20___ yil</w:t>
            </w:r>
          </w:p>
        </w:tc>
      </w:tr>
      <w:tr>
        <w:trPr/>
        <w:tc>
          <w:tcPr>
            <w:tcW w:w="5100" w:type="dxa"/>
            <w:tcBorders/>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t>Imzo / SMS-kod / elektron tasdiq</w:t>
            </w:r>
          </w:p>
        </w:tc>
        <w:tc>
          <w:tcPr>
            <w:tcW w:w="5099" w:type="dxa"/>
            <w:tcBorders/>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t>____________________________</w:t>
            </w:r>
          </w:p>
        </w:tc>
      </w:tr>
    </w:tbl>
    <w:p>
      <w:pPr>
        <w:pStyle w:val="Normal"/>
        <w:spacing w:before="160" w:after="120"/>
        <w:jc w:val="center"/>
        <w:rPr/>
      </w:pPr>
      <w:r>
        <w:rPr>
          <w:b/>
          <w:sz w:val="22"/>
        </w:rPr>
        <w:t>QABUL-TOPSHIRISH DALOLATNOMASI</w:t>
      </w:r>
    </w:p>
    <w:p>
      <w:pPr>
        <w:pStyle w:val="Normal"/>
        <w:rPr/>
      </w:pPr>
      <w:r>
        <w:rPr/>
        <w:t>“___” ____________ 20___ yil, shartnoma № __________ bo‘yicha quyidagi mebel Buyurtmachiga topshirildi va qabul qilindi.</w:t>
      </w:r>
    </w:p>
    <w:p>
      <w:pPr>
        <w:pStyle w:val="Normal"/>
        <w:spacing w:lineRule="auto" w:line="259" w:before="0" w:after="80"/>
        <w:rPr/>
      </w:pPr>
      <w:r>
        <w:rPr>
          <w:b/>
        </w:rPr>
        <w:t xml:space="preserve">1. </w:t>
      </w:r>
      <w:r>
        <w:rPr/>
        <w:t>Mahsulot/komplekt: ______________________________________________________________</w:t>
      </w:r>
    </w:p>
    <w:p>
      <w:pPr>
        <w:pStyle w:val="Normal"/>
        <w:spacing w:lineRule="auto" w:line="259" w:before="0" w:after="80"/>
        <w:rPr/>
      </w:pPr>
      <w:r>
        <w:rPr>
          <w:b/>
        </w:rPr>
        <w:t xml:space="preserve">2. </w:t>
      </w:r>
      <w:r>
        <w:rPr/>
        <w:t>Qadoqlar soni: ______ ta. Montaj: bajarildi / bajarilmadi.</w:t>
      </w:r>
    </w:p>
    <w:p>
      <w:pPr>
        <w:pStyle w:val="Normal"/>
        <w:spacing w:lineRule="auto" w:line="259" w:before="0" w:after="80"/>
        <w:rPr/>
      </w:pPr>
      <w:r>
        <w:rPr>
          <w:b/>
        </w:rPr>
        <w:t xml:space="preserve">3. </w:t>
      </w:r>
      <w:r>
        <w:rPr/>
        <w:t>Ko‘rinadigan nuqsonlar: mavjud emas / mavjud. Tavsif: ______________________________</w:t>
      </w:r>
    </w:p>
    <w:p>
      <w:pPr>
        <w:pStyle w:val="Normal"/>
        <w:spacing w:lineRule="auto" w:line="259" w:before="0" w:after="80"/>
        <w:rPr/>
      </w:pPr>
      <w:r>
        <w:rPr>
          <w:b/>
        </w:rPr>
        <w:t xml:space="preserve">4. </w:t>
      </w:r>
      <w:r>
        <w:rPr/>
        <w:t>Tugatish muddati yoki bartaraf etish kelishuvi: ____________________________________</w:t>
      </w:r>
    </w:p>
    <w:p>
      <w:pPr>
        <w:pStyle w:val="Normal"/>
        <w:spacing w:lineRule="auto" w:line="259" w:before="0" w:after="80"/>
        <w:rPr/>
      </w:pPr>
      <w:r>
        <w:rPr>
          <w:b/>
        </w:rPr>
        <w:t xml:space="preserve">5. </w:t>
      </w:r>
      <w:r>
        <w:rPr/>
        <w:t>Buyurtmachi foydalanish va parvarish bo‘yicha tavsiyalarni oldi: ha / yo‘q.</w:t>
      </w:r>
    </w:p>
    <w:tbl>
      <w:tblPr>
        <w:tblStyle w:val="TableGrid"/>
        <w:tblW w:w="10200"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5100"/>
        <w:gridCol w:w="5099"/>
      </w:tblGrid>
      <w:tr>
        <w:trPr/>
        <w:tc>
          <w:tcPr>
            <w:tcW w:w="5100" w:type="dxa"/>
            <w:tcBorders/>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t>TOPSHIRDI (PUDRATCHI)</w:t>
              <w:br/>
              <w:t>F.I.Sh.: __________________________</w:t>
              <w:br/>
              <w:t>Imzo: ____________________________</w:t>
            </w:r>
          </w:p>
        </w:tc>
        <w:tc>
          <w:tcPr>
            <w:tcW w:w="5099" w:type="dxa"/>
            <w:tcBorders/>
          </w:tcPr>
          <w:p>
            <w:pPr>
              <w:pStyle w:val="Normal"/>
              <w:widowControl/>
              <w:spacing w:lineRule="auto" w:line="240" w:before="0" w:after="60"/>
              <w:jc w:val="left"/>
              <w:rPr>
                <w:rFonts w:cs=""/>
                <w:kern w:val="0"/>
                <w:szCs w:val="22"/>
                <w:lang w:val="en-US" w:eastAsia="en-US" w:bidi="ar-SA"/>
              </w:rPr>
            </w:pPr>
            <w:r>
              <w:rPr>
                <w:rFonts w:cs=""/>
                <w:kern w:val="0"/>
                <w:szCs w:val="22"/>
                <w:lang w:val="en-US" w:eastAsia="en-US" w:bidi="ar-SA"/>
              </w:rPr>
              <w:t>QABUL QILDI (BUYURTMACHI)</w:t>
              <w:br/>
              <w:t>F.I.Sh.: __________________________</w:t>
              <w:br/>
              <w:t>Imzo: ____________________________</w:t>
            </w:r>
          </w:p>
        </w:tc>
      </w:tr>
    </w:tbl>
    <w:p>
      <w:pPr>
        <w:pStyle w:val="Normal"/>
        <w:spacing w:before="200" w:after="60"/>
        <w:rPr/>
      </w:pPr>
      <w:r>
        <w:rPr>
          <w:b/>
        </w:rPr>
        <w:t xml:space="preserve">Eslatma: </w:t>
      </w:r>
      <w:r>
        <w:rPr/>
        <w:t>Mazkur namuna umumiy foydalanish uchun tayyorlangan. Muayyan biznes modeli, soliq maqomi, iste’molchi bilan ishlash tartibi yoki katta summali bitimlar uchun imzolashdan oldin amaliyotchi yuristga ko‘rsatish tavsiya etiladi.</w:t>
      </w:r>
    </w:p>
    <w:sectPr>
      <w:footerReference w:type="even" r:id="rId2"/>
      <w:footerReference w:type="default" r:id="rId3"/>
      <w:footerReference w:type="first" r:id="rId4"/>
      <w:type w:val="nextPage"/>
      <w:pgSz w:w="12240" w:h="15840"/>
      <w:pgMar w:left="1020" w:right="1020" w:gutter="0" w:header="0" w:top="850" w:footer="397"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Mebel ishlab chiqarish (buyurtma) shartnomasi  |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Mebel ishlab chiqarish (buyurtma) shartnomasi  |  </w:t>
    </w: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60"/>
      <w:jc w:val="left"/>
    </w:pPr>
    <w:rPr>
      <w:rFonts w:ascii="Arial" w:hAnsi="Arial" w:eastAsia="Arial"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left="720"/>
      <w:contextualSpacing/>
    </w:pPr>
    <w:rPr/>
  </w:style>
  <w:style w:type="paragraph" w:styleId="List3">
    <w:name w:val="List 3"/>
    <w:basedOn w:val="Normal"/>
    <w:uiPriority w:val="99"/>
    <w:unhideWhenUsed/>
    <w:qFormat/>
    <w:rsid w:val="00326f90"/>
    <w:pPr>
      <w:spacing w:before="0" w:after="60"/>
      <w:ind w:hanging="360" w:lef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