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0" w:right="1701.25984251968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Raison sociale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Cellchem Pharmaceuticals Inc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0" w:right="1701.25984251968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Ottawa 1 first 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0" w:right="1701.25984251968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Téléphone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01 (333) 121 4452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contact@cellchem.com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80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5808" w:right="58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Monsieur 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Directeur Général de l’Autorité Ivoirienne de Régulation (AIRP)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580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Côte d’Ivoire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Objet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Déclaration relative à la certification des numéros DMF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onsieur le Directeur Général,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56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soussigné(e), </w:t>
      </w:r>
      <w:r w:rsidDel="00000000" w:rsidR="00000000" w:rsidRPr="00000000">
        <w:rPr>
          <w:sz w:val="24"/>
          <w:szCs w:val="24"/>
          <w:rtl w:val="0"/>
        </w:rPr>
        <w:t xml:space="preserve">Giorgio Baro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agissant en qualité de </w:t>
      </w:r>
      <w:r w:rsidDel="00000000" w:rsidR="00000000" w:rsidRPr="00000000">
        <w:rPr>
          <w:sz w:val="24"/>
          <w:szCs w:val="24"/>
          <w:rtl w:val="0"/>
        </w:rPr>
        <w:t xml:space="preserve">Pharmacien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sein du laboratoire </w:t>
      </w:r>
      <w:r w:rsidDel="00000000" w:rsidR="00000000" w:rsidRPr="00000000">
        <w:rPr>
          <w:sz w:val="24"/>
          <w:szCs w:val="24"/>
          <w:rtl w:val="0"/>
        </w:rPr>
        <w:t xml:space="preserve">Cellchem Pharmaceuticals Inc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 que le numéro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 Master File (DMF)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relatif à la substance active (API) du produit ci-dessous est exact, valide et conforme aux informations fournies par le fabricant.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déclare également que ces informations ont été vérifiées auprès de l’autorité de réglementation pharmaceutique du pays d’origine de cette substance active.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tableau ci-dessous récapitule les informations concernées 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0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12"/>
        <w:gridCol w:w="5848"/>
        <w:tblGridChange w:id="0">
          <w:tblGrid>
            <w:gridCol w:w="3712"/>
            <w:gridCol w:w="5848"/>
          </w:tblGrid>
        </w:tblGridChange>
      </w:tblGrid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Dénomination du produit fini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7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Celdol Plus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Titulaire de l’AMM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Cellchem Pharmaceuticals Inc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Fabricant du produit fini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Optimus Pharma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Substance active (API)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Paracetamol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" w:right="3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Nom, adresse, contacts e-mail et numéro de téléphone du site de Fabrication de 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Substance active API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Sega Pharma Ltd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Gujarat stae biocity India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: </w:t>
            </w:r>
            <w:hyperlink r:id="rId6">
              <w:r w:rsidDel="00000000" w:rsidR="00000000" w:rsidRPr="00000000">
                <w:rPr>
                  <w:rtl w:val="0"/>
                </w:rPr>
                <w:t xml:space="preserve">contact@segapharma.com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Tél: +97 331 454 586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 de l’autorité de réglementation approbatrice du Numéro de DMF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Goboalix Dilza Ltd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N° DMF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7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1545MF152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m’engage à informer au préalable l’AIRP de toute variation relative à ces informations.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présente déclaration est établie pour servir et valoir ce que de droit.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040" w:right="-282.9921259842507" w:firstLine="72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Fait à </w:t>
      </w:r>
      <w:r w:rsidDel="00000000" w:rsidR="00000000" w:rsidRPr="00000000">
        <w:rPr>
          <w:sz w:val="24"/>
          <w:szCs w:val="24"/>
          <w:rtl w:val="0"/>
        </w:rPr>
        <w:t xml:space="preserve">Ottawa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 </w:t>
      </w:r>
      <w:r w:rsidDel="00000000" w:rsidR="00000000" w:rsidRPr="00000000">
        <w:rPr>
          <w:sz w:val="24"/>
          <w:szCs w:val="24"/>
          <w:rtl w:val="0"/>
        </w:rPr>
        <w:t xml:space="preserve">31/08/2025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6513" w:right="662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Giorgio Bora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6513" w:right="6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Pharmacien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152400</wp:posOffset>
            </wp:positionV>
            <wp:extent cx="2478959" cy="7941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959" cy="794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65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10" w:orient="portrait"/>
      <w:pgMar w:bottom="280" w:top="1340" w:left="1275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Footer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Header</w:t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contact@segapharma.com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2026-08-01T00:00:00Z</vt:lpwstr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lpwstr>2026-08-01T00:00:00Z</vt:lpwstr>
  </property>
</Properties>
</file>