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BIOEQUIVALENCE TRIAL INFORMATION FORM (BTIF)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SUMMARY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 Summary of bioequivalence studies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…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 Composition of the proposed formulations and biobatches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Tableaux comparatifs par dosage.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CLINICAL STUDY REPORT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Numéro et titre d'étude · localisation du protocole · dates de chaque phase et d'administration du produit.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Ethics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Comité d'éthique · date d'approbation · localisation de la lettre et du formulaire de consentement.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Investigators and study administrative structure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Investigateur principal (CV) · site clinique · laboratoires cliniques et analytiques · société PK/statistique.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Study objectives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…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 Investigational plan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Plan d'étude · critères d'inclusion et d'exclusion · vérification de l'état de santé · retrait des sujets · remplaçants.</w:t>
      </w:r>
    </w:p>
    <w:p>
      <w:pPr>
        <w:pStyle w:val="Heading2"/>
        <w:spacing w:after="80" w:before="2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SUITE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Produits étudiés · procédures · méthodes analytiques · pharmacocinétique et statistiques · annexes.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« Ni le format ni le contenu du document (textes et tableaux) ne doivent être modifiés » — instruction OMS en tête du formulaire. Les zones grisées sont réservées à l’autorité.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BTIF — Bioequivalence Trial Information Form — modèle officiel</dc:title>
  <dc:creator>Modèle OMS — 13 janvier 2023</dc:creator>
  <dc:description>Modèle officiel</dc:description>
  <cp:lastModifiedBy>Modèle OMS — 13 janvier 2023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