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0"/>
        <w:jc w:val="center"/>
      </w:pPr>
      <w:r>
        <w:rPr>
          <w:rFonts w:ascii="Arial" w:cs="Arial" w:eastAsia="Arial" w:hAnsi="Arial"/>
          <w:b/>
          <w:bCs/>
          <w:sz w:val="26"/>
          <w:szCs w:val="26"/>
        </w:rPr>
        <w:t xml:space="preserve">RESUME DES CARACTERISTIQUES DU PRODUIT</w:t>
      </w:r>
    </w:p>
    <w:p>
      <w:pPr>
        <w:pStyle w:val="Heading2"/>
        <w:spacing w:after="80" w:before="280"/>
        <w:jc w:val="left"/>
      </w:pPr>
      <w:r>
        <w:rPr>
          <w:rFonts w:ascii="Arial" w:cs="Arial" w:eastAsia="Arial" w:hAnsi="Arial"/>
          <w:b/>
          <w:bCs/>
          <w:sz w:val="22"/>
          <w:szCs w:val="22"/>
        </w:rPr>
        <w:t xml:space="preserve">1. DENOMINATION DU MEDICAMENT</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2. COMPOSITION QUALITATIVE ET QUANTITATIVE</w:t>
      </w:r>
    </w:p>
    <w:p>
      <w:pPr>
        <w:spacing w:after="100" w:before="0"/>
        <w:jc w:val="left"/>
      </w:pPr>
      <w:r>
        <w:rPr>
          <w:rFonts w:ascii="Arial" w:cs="Arial" w:eastAsia="Arial" w:hAnsi="Arial"/>
          <w:b w:val="false"/>
          <w:bCs w:val="false"/>
          <w:sz w:val="21"/>
          <w:szCs w:val="21"/>
        </w:rPr>
        <w:t xml:space="preserve">{ ................................................................ }</w:t>
      </w:r>
    </w:p>
    <w:p>
      <w:pPr>
        <w:spacing w:after="100" w:before="0"/>
        <w:jc w:val="left"/>
      </w:pPr>
      <w:r>
        <w:rPr>
          <w:rFonts w:ascii="Arial" w:cs="Arial" w:eastAsia="Arial" w:hAnsi="Arial"/>
          <w:b w:val="false"/>
          <w:bCs w:val="false"/>
          <w:sz w:val="21"/>
          <w:szCs w:val="21"/>
        </w:rPr>
        <w:t xml:space="preserve">&lt;Excipient(s) à effet notoire :&gt;</w:t>
      </w:r>
    </w:p>
    <w:p>
      <w:pPr>
        <w:spacing w:after="100" w:before="0"/>
        <w:jc w:val="left"/>
      </w:pPr>
      <w:r>
        <w:rPr>
          <w:rFonts w:ascii="Arial" w:cs="Arial" w:eastAsia="Arial" w:hAnsi="Arial"/>
          <w:b w:val="false"/>
          <w:bCs w:val="false"/>
          <w:sz w:val="21"/>
          <w:szCs w:val="21"/>
        </w:rPr>
        <w:t xml:space="preserve">&lt;Pour la liste complète des excipients, voir rubrique 6.1.&gt;</w:t>
      </w:r>
    </w:p>
    <w:p>
      <w:pPr>
        <w:pStyle w:val="Heading2"/>
        <w:spacing w:after="80" w:before="280"/>
        <w:jc w:val="left"/>
      </w:pPr>
      <w:r>
        <w:rPr>
          <w:rFonts w:ascii="Arial" w:cs="Arial" w:eastAsia="Arial" w:hAnsi="Arial"/>
          <w:b/>
          <w:bCs/>
          <w:sz w:val="22"/>
          <w:szCs w:val="22"/>
        </w:rPr>
        <w:t xml:space="preserve">3. FORME PHARMACEUTIQUE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4. DONNEES CLINIQUES</w:t>
      </w:r>
    </w:p>
    <w:p>
      <w:pPr>
        <w:pStyle w:val="Heading3"/>
        <w:spacing w:after="60" w:before="220"/>
        <w:jc w:val="left"/>
      </w:pPr>
      <w:r>
        <w:rPr>
          <w:rFonts w:ascii="Arial" w:cs="Arial" w:eastAsia="Arial" w:hAnsi="Arial"/>
          <w:b/>
          <w:bCs/>
          <w:sz w:val="21"/>
          <w:szCs w:val="21"/>
        </w:rPr>
        <w:t xml:space="preserve">4.1. Indications thérapeutiques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4.2. Posologie et mode d'administration</w:t>
      </w:r>
    </w:p>
    <w:p>
      <w:pPr>
        <w:pStyle w:val="Heading4"/>
        <w:spacing w:after="40" w:before="160"/>
        <w:jc w:val="left"/>
      </w:pPr>
      <w:r>
        <w:rPr>
          <w:rFonts w:ascii="Arial" w:cs="Arial" w:eastAsia="Arial" w:hAnsi="Arial"/>
          <w:b/>
          <w:bCs/>
          <w:sz w:val="21"/>
          <w:szCs w:val="21"/>
        </w:rPr>
        <w:t xml:space="preserve">Posologie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Mode d'administration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4.3. Contre-indications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4.4. Mises en garde spéciales et précautions d'emploi</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4.5. Interactions avec d'autres médicaments et autres formes d'interactions</w:t>
      </w:r>
    </w:p>
    <w:p>
      <w:pPr>
        <w:spacing w:after="100" w:before="0"/>
        <w:jc w:val="left"/>
      </w:pPr>
      <w:r>
        <w:rPr>
          <w:rFonts w:ascii="Arial" w:cs="Arial" w:eastAsia="Arial" w:hAnsi="Arial"/>
          <w:b w:val="false"/>
          <w:bCs w:val="false"/>
          <w:sz w:val="21"/>
          <w:szCs w:val="21"/>
        </w:rPr>
        <w:t xml:space="preserve">&lt;Aucune étude d'interaction n'a été réalisée.&gt;</w:t>
      </w:r>
    </w:p>
    <w:p>
      <w:pPr>
        <w:spacing w:after="100" w:before="0"/>
        <w:jc w:val="left"/>
      </w:pPr>
      <w:r>
        <w:rPr>
          <w:rFonts w:ascii="Arial" w:cs="Arial" w:eastAsia="Arial" w:hAnsi="Arial"/>
          <w:b w:val="false"/>
          <w:bCs w:val="false"/>
          <w:sz w:val="21"/>
          <w:szCs w:val="21"/>
        </w:rPr>
        <w:t xml:space="preserve">&lt;Population pédiatrique&gt;</w:t>
      </w:r>
    </w:p>
    <w:p>
      <w:pPr>
        <w:spacing w:after="100" w:before="0"/>
        <w:jc w:val="left"/>
      </w:pPr>
      <w:r>
        <w:rPr>
          <w:rFonts w:ascii="Arial" w:cs="Arial" w:eastAsia="Arial" w:hAnsi="Arial"/>
          <w:b w:val="false"/>
          <w:bCs w:val="false"/>
          <w:sz w:val="21"/>
          <w:szCs w:val="21"/>
        </w:rPr>
        <w:t xml:space="preserve">&lt;Les études d'interaction n'ont été réalisées que chez l'adulte.&gt;</w:t>
      </w:r>
    </w:p>
    <w:p>
      <w:pPr>
        <w:spacing w:after="100" w:before="0"/>
        <w:jc w:val="left"/>
      </w:pPr>
      <w:r>
        <w:rPr>
          <w:rFonts w:ascii="Arial" w:cs="Arial" w:eastAsia="Arial" w:hAnsi="Arial"/>
          <w:b w:val="false"/>
          <w:bCs w:val="false"/>
          <w:sz w:val="21"/>
          <w:szCs w:val="21"/>
        </w:rPr>
        <w:t xml:space="preserve">&lt;Associations contre-indiquées&gt;</w:t>
      </w:r>
    </w:p>
    <w:p>
      <w:pPr>
        <w:spacing w:after="100" w:before="0"/>
        <w:jc w:val="left"/>
      </w:pPr>
      <w:r>
        <w:rPr>
          <w:rFonts w:ascii="Arial" w:cs="Arial" w:eastAsia="Arial" w:hAnsi="Arial"/>
          <w:b w:val="false"/>
          <w:bCs w:val="false"/>
          <w:sz w:val="21"/>
          <w:szCs w:val="21"/>
        </w:rPr>
        <w:t xml:space="preserve">&lt;Associations déconseillées&gt;</w:t>
      </w:r>
    </w:p>
    <w:p>
      <w:pPr>
        <w:spacing w:after="100" w:before="0"/>
        <w:jc w:val="left"/>
      </w:pPr>
      <w:r>
        <w:rPr>
          <w:rFonts w:ascii="Arial" w:cs="Arial" w:eastAsia="Arial" w:hAnsi="Arial"/>
          <w:b w:val="false"/>
          <w:bCs w:val="false"/>
          <w:sz w:val="21"/>
          <w:szCs w:val="21"/>
        </w:rPr>
        <w:t xml:space="preserve">&lt;Associations faisant l'objet de précautions d'emploi&gt;</w:t>
      </w:r>
    </w:p>
    <w:p>
      <w:pPr>
        <w:spacing w:after="100" w:before="0"/>
        <w:jc w:val="left"/>
      </w:pPr>
      <w:r>
        <w:rPr>
          <w:rFonts w:ascii="Arial" w:cs="Arial" w:eastAsia="Arial" w:hAnsi="Arial"/>
          <w:b w:val="false"/>
          <w:bCs w:val="false"/>
          <w:sz w:val="21"/>
          <w:szCs w:val="21"/>
        </w:rPr>
        <w:t xml:space="preserve">&lt;Associations à prendre en compte&gt;</w:t>
      </w:r>
    </w:p>
    <w:p>
      <w:pPr>
        <w:spacing w:after="100" w:before="0"/>
        <w:jc w:val="left"/>
      </w:pPr>
      <w:r>
        <w:rPr>
          <w:rFonts w:ascii="Arial" w:cs="Arial" w:eastAsia="Arial" w:hAnsi="Arial"/>
          <w:b w:val="false"/>
          <w:bCs w:val="false"/>
          <w:sz w:val="21"/>
          <w:szCs w:val="21"/>
        </w:rPr>
        <w:t xml:space="preserve">&lt;Interactions avec les examens paracliniques&gt;</w:t>
      </w:r>
    </w:p>
    <w:p>
      <w:pPr>
        <w:pStyle w:val="Heading3"/>
        <w:spacing w:after="60" w:before="220"/>
        <w:jc w:val="left"/>
      </w:pPr>
      <w:r>
        <w:rPr>
          <w:rFonts w:ascii="Arial" w:cs="Arial" w:eastAsia="Arial" w:hAnsi="Arial"/>
          <w:b/>
          <w:bCs/>
          <w:sz w:val="21"/>
          <w:szCs w:val="21"/>
        </w:rPr>
        <w:t xml:space="preserve">4.6. Fertilité, grossesse et allaitement</w:t>
      </w:r>
    </w:p>
    <w:p>
      <w:pPr>
        <w:spacing w:after="100" w:before="0"/>
        <w:jc w:val="left"/>
      </w:pPr>
      <w:r>
        <w:rPr>
          <w:rFonts w:ascii="Arial" w:cs="Arial" w:eastAsia="Arial" w:hAnsi="Arial"/>
          <w:b w:val="false"/>
          <w:bCs w:val="false"/>
          <w:sz w:val="21"/>
          <w:szCs w:val="21"/>
        </w:rPr>
        <w:t xml:space="preserve">&lt;Grossesse&gt;</w:t>
      </w:r>
    </w:p>
    <w:p>
      <w:pPr>
        <w:spacing w:after="100" w:before="0"/>
        <w:jc w:val="left"/>
      </w:pPr>
      <w:r>
        <w:rPr>
          <w:rFonts w:ascii="Arial" w:cs="Arial" w:eastAsia="Arial" w:hAnsi="Arial"/>
          <w:b w:val="false"/>
          <w:bCs w:val="false"/>
          <w:sz w:val="21"/>
          <w:szCs w:val="21"/>
        </w:rPr>
        <w:t xml:space="preserve">&lt;Allaitement&gt;</w:t>
      </w:r>
    </w:p>
    <w:p>
      <w:pPr>
        <w:spacing w:after="100" w:before="0"/>
        <w:jc w:val="left"/>
      </w:pPr>
      <w:r>
        <w:rPr>
          <w:rFonts w:ascii="Arial" w:cs="Arial" w:eastAsia="Arial" w:hAnsi="Arial"/>
          <w:b w:val="false"/>
          <w:bCs w:val="false"/>
          <w:sz w:val="21"/>
          <w:szCs w:val="21"/>
        </w:rPr>
        <w:t xml:space="preserve">&lt;Fertilité&gt;</w:t>
      </w:r>
    </w:p>
    <w:p>
      <w:pPr>
        <w:pStyle w:val="Heading3"/>
        <w:spacing w:after="60" w:before="220"/>
        <w:jc w:val="left"/>
      </w:pPr>
      <w:r>
        <w:rPr>
          <w:rFonts w:ascii="Arial" w:cs="Arial" w:eastAsia="Arial" w:hAnsi="Arial"/>
          <w:b/>
          <w:bCs/>
          <w:sz w:val="21"/>
          <w:szCs w:val="21"/>
        </w:rPr>
        <w:t xml:space="preserve">4.7. Effets sur l'aptitude à conduire des véhicules et à utiliser des machines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4.8. Effets indésirables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Déclaration des effets indésirables suspectés</w:t>
      </w:r>
    </w:p>
    <w:p>
      <w:pPr>
        <w:spacing w:after="100" w:before="0"/>
        <w:jc w:val="left"/>
      </w:pPr>
      <w:r>
        <w:rPr>
          <w:rFonts w:ascii="Arial" w:cs="Arial" w:eastAsia="Arial" w:hAnsi="Arial"/>
          <w:b w:val="false"/>
          <w:bCs w:val="false"/>
          <w:sz w:val="21"/>
          <w:szCs w:val="21"/>
        </w:rPr>
        <w:t xml:space="preserve">La déclaration des effets indésirables suspectés après autorisation du médicament est importante. Elle permet une surveillance continue du rapport bénéfice/risque du médicament. Les professionnels de santé déclarent tout effet indésirable suspecté via le système national de pharmacovigilance.</w:t>
      </w:r>
    </w:p>
    <w:p>
      <w:pPr>
        <w:spacing w:after="100" w:before="0"/>
        <w:jc w:val="left"/>
      </w:pPr>
      <w:r>
        <w:rPr>
          <w:rFonts w:ascii="Arial" w:cs="Arial" w:eastAsia="Arial" w:hAnsi="Arial"/>
          <w:b w:val="false"/>
          <w:bCs w:val="false"/>
          <w:sz w:val="21"/>
          <w:szCs w:val="21"/>
        </w:rPr>
        <w:t xml:space="preserve">La notification peut se faire au moyen de l'application nationale Med Safety.</w:t>
      </w:r>
    </w:p>
    <w:p>
      <w:pPr>
        <w:pStyle w:val="Heading3"/>
        <w:spacing w:after="60" w:before="220"/>
        <w:jc w:val="left"/>
      </w:pPr>
      <w:r>
        <w:rPr>
          <w:rFonts w:ascii="Arial" w:cs="Arial" w:eastAsia="Arial" w:hAnsi="Arial"/>
          <w:b/>
          <w:bCs/>
          <w:sz w:val="21"/>
          <w:szCs w:val="21"/>
        </w:rPr>
        <w:t xml:space="preserve">4.9. Surdosage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5. PROPRIETES PHARMACOLOGIQUES</w:t>
      </w:r>
    </w:p>
    <w:p>
      <w:pPr>
        <w:pStyle w:val="Heading3"/>
        <w:spacing w:after="60" w:before="220"/>
        <w:jc w:val="left"/>
      </w:pPr>
      <w:r>
        <w:rPr>
          <w:rFonts w:ascii="Arial" w:cs="Arial" w:eastAsia="Arial" w:hAnsi="Arial"/>
          <w:b/>
          <w:bCs/>
          <w:sz w:val="21"/>
          <w:szCs w:val="21"/>
        </w:rPr>
        <w:t xml:space="preserve">5.1. Propriétés pharmacodynamiques</w:t>
      </w:r>
    </w:p>
    <w:p>
      <w:pPr>
        <w:spacing w:after="100" w:before="0"/>
        <w:jc w:val="left"/>
      </w:pPr>
      <w:r>
        <w:rPr>
          <w:rFonts w:ascii="Arial" w:cs="Arial" w:eastAsia="Arial" w:hAnsi="Arial"/>
          <w:b w:val="false"/>
          <w:bCs w:val="false"/>
          <w:sz w:val="21"/>
          <w:szCs w:val="21"/>
        </w:rPr>
        <w:t xml:space="preserve">Classe pharmacothérapeutique : {classe},</w:t>
      </w:r>
    </w:p>
    <w:p>
      <w:pPr>
        <w:spacing w:after="100" w:before="0"/>
        <w:jc w:val="left"/>
      </w:pPr>
      <w:r>
        <w:rPr>
          <w:rFonts w:ascii="Arial" w:cs="Arial" w:eastAsia="Arial" w:hAnsi="Arial"/>
          <w:b w:val="false"/>
          <w:bCs w:val="false"/>
          <w:sz w:val="21"/>
          <w:szCs w:val="21"/>
        </w:rPr>
        <w:t xml:space="preserve">Code ATC : {code} &lt;non encore attribué&gt;.</w:t>
      </w:r>
    </w:p>
    <w:p>
      <w:pPr>
        <w:pStyle w:val="Heading4"/>
        <w:spacing w:after="40" w:before="160"/>
        <w:jc w:val="left"/>
      </w:pPr>
      <w:r>
        <w:rPr>
          <w:rFonts w:ascii="Arial" w:cs="Arial" w:eastAsia="Arial" w:hAnsi="Arial"/>
          <w:b/>
          <w:bCs/>
          <w:sz w:val="21"/>
          <w:szCs w:val="21"/>
        </w:rPr>
        <w:t xml:space="preserve">Mécanisme d'action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Effets pharmacodynamiques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Efficacité et sécurité clinique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Population pédiatrique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5.2. Propriétés pharmacocinétiques</w:t>
      </w:r>
    </w:p>
    <w:p>
      <w:pPr>
        <w:pStyle w:val="Heading4"/>
        <w:spacing w:after="40" w:before="160"/>
        <w:jc w:val="left"/>
      </w:pPr>
      <w:r>
        <w:rPr>
          <w:rFonts w:ascii="Arial" w:cs="Arial" w:eastAsia="Arial" w:hAnsi="Arial"/>
          <w:b/>
          <w:bCs/>
          <w:sz w:val="21"/>
          <w:szCs w:val="21"/>
        </w:rPr>
        <w:t xml:space="preserve">Absorption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Distribution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Biotransformation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Élimination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Linéarité/non-linéarité</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Relations pharmacocinétique/pharmacodynamique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5.3. Données de sécurité préclinique</w:t>
      </w:r>
    </w:p>
    <w:p>
      <w:pPr>
        <w:spacing w:after="100" w:before="0"/>
        <w:jc w:val="left"/>
      </w:pPr>
      <w:r>
        <w:rPr>
          <w:rFonts w:ascii="Arial" w:cs="Arial" w:eastAsia="Arial" w:hAnsi="Arial"/>
          <w:b w:val="false"/>
          <w:bCs w:val="false"/>
          <w:sz w:val="21"/>
          <w:szCs w:val="21"/>
        </w:rPr>
        <w:t xml:space="preserve">&lt;Les données non cliniques issues des études conventionnelles de pharmacologie de sécurité, toxicologie en administration répétée, génotoxicité, cancérogénèse, et des fonctions de reproduction et de développement, n'ont pas révélé de risque particulier pour l'homme.&gt;</w:t>
      </w:r>
    </w:p>
    <w:p>
      <w:pPr>
        <w:spacing w:after="100" w:before="0"/>
        <w:jc w:val="left"/>
      </w:pPr>
      <w:r>
        <w:rPr>
          <w:rFonts w:ascii="Arial" w:cs="Arial" w:eastAsia="Arial" w:hAnsi="Arial"/>
          <w:b w:val="false"/>
          <w:bCs w:val="false"/>
          <w:sz w:val="21"/>
          <w:szCs w:val="21"/>
        </w:rPr>
        <w:t xml:space="preserve">&lt;Des effets ont été observés chez l'animal uniquement à des expositions considérées comme suffisamment supérieures à l'exposition maximale observée chez l'homme, et ont peu de signification clinique.&gt;</w:t>
      </w:r>
    </w:p>
    <w:p>
      <w:pPr>
        <w:spacing w:after="100" w:before="0"/>
        <w:jc w:val="left"/>
      </w:pPr>
      <w:r>
        <w:rPr>
          <w:rFonts w:ascii="Arial" w:cs="Arial" w:eastAsia="Arial" w:hAnsi="Arial"/>
          <w:b w:val="false"/>
          <w:bCs w:val="false"/>
          <w:sz w:val="21"/>
          <w:szCs w:val="21"/>
        </w:rPr>
        <w:t xml:space="preserve">&lt;Les effets indésirables suivants n'ont pas été observés dans les études cliniques, mais ont été constatés chez des animaux soumis à des niveaux d'exposition semblables à ceux utilisés pour l'homme et pourraient avoir une signification clinique.&gt;</w:t>
      </w:r>
    </w:p>
    <w:p>
      <w:pPr>
        <w:spacing w:after="100" w:before="0"/>
        <w:jc w:val="left"/>
      </w:pPr>
      <w:r>
        <w:rPr>
          <w:rFonts w:ascii="Arial" w:cs="Arial" w:eastAsia="Arial" w:hAnsi="Arial"/>
          <w:b w:val="false"/>
          <w:bCs w:val="false"/>
          <w:sz w:val="21"/>
          <w:szCs w:val="21"/>
        </w:rPr>
        <w:t xml:space="preserve">&lt;Évaluation du risque environnemental&gt;</w:t>
      </w:r>
    </w:p>
    <w:p>
      <w:pPr>
        <w:pStyle w:val="Heading2"/>
        <w:spacing w:after="80" w:before="280"/>
        <w:jc w:val="left"/>
      </w:pPr>
      <w:r>
        <w:rPr>
          <w:rFonts w:ascii="Arial" w:cs="Arial" w:eastAsia="Arial" w:hAnsi="Arial"/>
          <w:b/>
          <w:bCs/>
          <w:sz w:val="22"/>
          <w:szCs w:val="22"/>
        </w:rPr>
        <w:t xml:space="preserve">6. DONNEES PHARMACEUTIQUES</w:t>
      </w:r>
    </w:p>
    <w:p>
      <w:pPr>
        <w:pStyle w:val="Heading3"/>
        <w:spacing w:after="60" w:before="220"/>
        <w:jc w:val="left"/>
      </w:pPr>
      <w:r>
        <w:rPr>
          <w:rFonts w:ascii="Arial" w:cs="Arial" w:eastAsia="Arial" w:hAnsi="Arial"/>
          <w:b/>
          <w:bCs/>
          <w:sz w:val="21"/>
          <w:szCs w:val="21"/>
        </w:rPr>
        <w:t xml:space="preserve">6.1. Liste des excipients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6.2. Incompatibilités</w:t>
      </w:r>
    </w:p>
    <w:p>
      <w:pPr>
        <w:spacing w:after="100" w:before="0"/>
        <w:jc w:val="left"/>
      </w:pPr>
      <w:r>
        <w:rPr>
          <w:rFonts w:ascii="Arial" w:cs="Arial" w:eastAsia="Arial" w:hAnsi="Arial"/>
          <w:b w:val="false"/>
          <w:bCs w:val="false"/>
          <w:sz w:val="21"/>
          <w:szCs w:val="21"/>
        </w:rPr>
        <w:t xml:space="preserve">xxxxxxxxx</w:t>
      </w:r>
    </w:p>
    <w:p>
      <w:pPr>
        <w:spacing w:after="100" w:before="0"/>
        <w:jc w:val="left"/>
      </w:pPr>
      <w:r>
        <w:rPr>
          <w:rFonts w:ascii="Arial" w:cs="Arial" w:eastAsia="Arial" w:hAnsi="Arial"/>
          <w:b w:val="false"/>
          <w:bCs w:val="false"/>
          <w:sz w:val="21"/>
          <w:szCs w:val="21"/>
        </w:rPr>
        <w:t xml:space="preserve">&lt;Sans objet.&gt;</w:t>
      </w:r>
    </w:p>
    <w:p>
      <w:pPr>
        <w:pStyle w:val="Heading3"/>
        <w:spacing w:after="60" w:before="220"/>
        <w:jc w:val="left"/>
      </w:pPr>
      <w:r>
        <w:rPr>
          <w:rFonts w:ascii="Arial" w:cs="Arial" w:eastAsia="Arial" w:hAnsi="Arial"/>
          <w:b/>
          <w:bCs/>
          <w:sz w:val="21"/>
          <w:szCs w:val="21"/>
        </w:rPr>
        <w:t xml:space="preserve">6.3. Durée de conservation</w:t>
      </w:r>
    </w:p>
    <w:p>
      <w:pPr>
        <w:spacing w:after="100" w:before="0"/>
        <w:jc w:val="left"/>
      </w:pPr>
      <w:r>
        <w:rPr>
          <w:rFonts w:ascii="Arial" w:cs="Arial" w:eastAsia="Arial" w:hAnsi="Arial"/>
          <w:b w:val="false"/>
          <w:bCs w:val="false"/>
          <w:sz w:val="21"/>
          <w:szCs w:val="21"/>
        </w:rPr>
        <w:t xml:space="preserve">&lt;xx mois&gt;</w:t>
      </w:r>
    </w:p>
    <w:p>
      <w:pPr>
        <w:pStyle w:val="Heading3"/>
        <w:spacing w:after="60" w:before="220"/>
        <w:jc w:val="left"/>
      </w:pPr>
      <w:r>
        <w:rPr>
          <w:rFonts w:ascii="Arial" w:cs="Arial" w:eastAsia="Arial" w:hAnsi="Arial"/>
          <w:b/>
          <w:bCs/>
          <w:sz w:val="21"/>
          <w:szCs w:val="21"/>
        </w:rPr>
        <w:t xml:space="preserve">6.4. Précautions particulières de conservation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6.5. Nature et contenu de l'emballage extérieur</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6.6. Précautions particulières d'élimination et de manipulation</w:t>
      </w:r>
    </w:p>
    <w:p>
      <w:pPr>
        <w:spacing w:after="100" w:before="0"/>
        <w:jc w:val="left"/>
      </w:pPr>
      <w:r>
        <w:rPr>
          <w:rFonts w:ascii="Arial" w:cs="Arial" w:eastAsia="Arial" w:hAnsi="Arial"/>
          <w:b w:val="false"/>
          <w:bCs w:val="false"/>
          <w:sz w:val="21"/>
          <w:szCs w:val="21"/>
        </w:rPr>
        <w:t xml:space="preserve">&lt;Pas d'exigences particulières &lt;pour l'élimination&gt;.&gt;</w:t>
      </w:r>
    </w:p>
    <w:p>
      <w:pPr>
        <w:spacing w:after="100" w:before="0"/>
        <w:jc w:val="left"/>
      </w:pPr>
      <w:r>
        <w:rPr>
          <w:rFonts w:ascii="Arial" w:cs="Arial" w:eastAsia="Arial" w:hAnsi="Arial"/>
          <w:b w:val="false"/>
          <w:bCs w:val="false"/>
          <w:sz w:val="21"/>
          <w:szCs w:val="21"/>
        </w:rPr>
        <w:t xml:space="preserve">&lt;Tout médicament non utilisé ou déchet doit être éliminé conformément à la réglementation en vigueur.&gt;</w:t>
      </w:r>
    </w:p>
    <w:p>
      <w:pPr>
        <w:pStyle w:val="Heading2"/>
        <w:spacing w:after="80" w:before="280"/>
        <w:jc w:val="left"/>
      </w:pPr>
      <w:r>
        <w:rPr>
          <w:rFonts w:ascii="Arial" w:cs="Arial" w:eastAsia="Arial" w:hAnsi="Arial"/>
          <w:b/>
          <w:bCs/>
          <w:sz w:val="22"/>
          <w:szCs w:val="22"/>
        </w:rPr>
        <w:t xml:space="preserve">7. TITULAIRE DE L'AUTORISATION DE MISE SUR LE MARCHE</w:t>
      </w:r>
    </w:p>
    <w:p>
      <w:pPr>
        <w:spacing w:after="100" w:before="0"/>
        <w:jc w:val="left"/>
      </w:pPr>
      <w:r>
        <w:rPr>
          <w:rFonts w:ascii="Arial" w:cs="Arial" w:eastAsia="Arial" w:hAnsi="Arial"/>
          <w:b w:val="false"/>
          <w:bCs w:val="false"/>
          <w:sz w:val="21"/>
          <w:szCs w:val="21"/>
        </w:rPr>
        <w:t xml:space="preserve">NOM</w:t>
      </w:r>
    </w:p>
    <w:p>
      <w:pPr>
        <w:spacing w:after="100" w:before="0"/>
        <w:jc w:val="left"/>
      </w:pPr>
      <w:r>
        <w:rPr>
          <w:rFonts w:ascii="Arial" w:cs="Arial" w:eastAsia="Arial" w:hAnsi="Arial"/>
          <w:b w:val="false"/>
          <w:bCs w:val="false"/>
          <w:sz w:val="21"/>
          <w:szCs w:val="21"/>
        </w:rPr>
        <w:t xml:space="preserve">ADRESSE COMPLETE</w:t>
      </w:r>
    </w:p>
    <w:p>
      <w:pPr>
        <w:spacing w:after="100" w:before="0"/>
        <w:jc w:val="left"/>
      </w:pPr>
      <w:r>
        <w:rPr>
          <w:rFonts w:ascii="Arial" w:cs="Arial" w:eastAsia="Arial" w:hAnsi="Arial"/>
          <w:b w:val="false"/>
          <w:bCs w:val="false"/>
          <w:sz w:val="21"/>
          <w:szCs w:val="21"/>
        </w:rPr>
        <w:t xml:space="preserve">[Tel, fax, e-Mail]</w:t>
      </w:r>
    </w:p>
    <w:p>
      <w:pPr>
        <w:pStyle w:val="Heading2"/>
        <w:spacing w:after="80" w:before="280"/>
        <w:jc w:val="left"/>
      </w:pPr>
      <w:r>
        <w:rPr>
          <w:rFonts w:ascii="Arial" w:cs="Arial" w:eastAsia="Arial" w:hAnsi="Arial"/>
          <w:b/>
          <w:bCs/>
          <w:sz w:val="22"/>
          <w:szCs w:val="22"/>
        </w:rPr>
        <w:t xml:space="preserve">8. NUMERO(S) D'AUTORISATION DE MISE SUR LE MARCHE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9. DATE DE PREMIERE AUTORISATION/DE RENOUVELLEMENT DE L'AUTORISATION</w:t>
      </w:r>
    </w:p>
    <w:p>
      <w:pPr>
        <w:spacing w:after="100" w:before="0"/>
        <w:jc w:val="left"/>
      </w:pPr>
      <w:r>
        <w:rPr>
          <w:rFonts w:ascii="Arial" w:cs="Arial" w:eastAsia="Arial" w:hAnsi="Arial"/>
          <w:b w:val="false"/>
          <w:bCs w:val="false"/>
          <w:sz w:val="21"/>
          <w:szCs w:val="21"/>
        </w:rPr>
        <w:t xml:space="preserve">&lt;Date de première autorisation : {JJ mois AAAA}&gt;</w:t>
      </w:r>
    </w:p>
    <w:p>
      <w:pPr>
        <w:spacing w:after="100" w:before="0"/>
        <w:jc w:val="left"/>
      </w:pPr>
      <w:r>
        <w:rPr>
          <w:rFonts w:ascii="Arial" w:cs="Arial" w:eastAsia="Arial" w:hAnsi="Arial"/>
          <w:b w:val="false"/>
          <w:bCs w:val="false"/>
          <w:sz w:val="21"/>
          <w:szCs w:val="21"/>
        </w:rPr>
        <w:t xml:space="preserve">&lt;Date de dernier renouvellement : {JJ mois AAAA}&gt;</w:t>
      </w:r>
    </w:p>
    <w:p>
      <w:pPr>
        <w:pStyle w:val="Heading2"/>
        <w:spacing w:after="80" w:before="280"/>
        <w:jc w:val="left"/>
      </w:pPr>
      <w:r>
        <w:rPr>
          <w:rFonts w:ascii="Arial" w:cs="Arial" w:eastAsia="Arial" w:hAnsi="Arial"/>
          <w:b/>
          <w:bCs/>
          <w:sz w:val="22"/>
          <w:szCs w:val="22"/>
        </w:rPr>
        <w:t xml:space="preserve">10. DATE DE MISE A JOUR DU TEXTE</w:t>
      </w:r>
    </w:p>
    <w:p>
      <w:pPr>
        <w:spacing w:after="100" w:before="0"/>
        <w:jc w:val="left"/>
      </w:pPr>
      <w:r>
        <w:rPr>
          <w:rFonts w:ascii="Arial" w:cs="Arial" w:eastAsia="Arial" w:hAnsi="Arial"/>
          <w:b w:val="false"/>
          <w:bCs w:val="false"/>
          <w:sz w:val="21"/>
          <w:szCs w:val="21"/>
        </w:rPr>
        <w:t xml:space="preserve">[à compléter ultérieurement par le titulaire]</w:t>
      </w:r>
    </w:p>
    <w:p>
      <w:pPr>
        <w:spacing w:after="100" w:before="0"/>
        <w:jc w:val="left"/>
      </w:pPr>
      <w:r>
        <w:rPr>
          <w:rFonts w:ascii="Arial" w:cs="Arial" w:eastAsia="Arial" w:hAnsi="Arial"/>
          <w:b w:val="false"/>
          <w:bCs w:val="false"/>
          <w:sz w:val="21"/>
          <w:szCs w:val="21"/>
        </w:rPr>
        <w:t xml:space="preserve">&lt;{JJ mois AAAA}&gt;</w:t>
      </w:r>
    </w:p>
    <w:p>
      <w:pPr>
        <w:pStyle w:val="Heading1"/>
        <w:spacing w:after="200" w:before="400"/>
        <w:jc w:val="center"/>
      </w:pPr>
      <w:r>
        <w:rPr>
          <w:rFonts w:ascii="Arial" w:cs="Arial" w:eastAsia="Arial" w:hAnsi="Arial"/>
          <w:b/>
          <w:bCs/>
          <w:sz w:val="23"/>
          <w:szCs w:val="23"/>
        </w:rPr>
        <w:t xml:space="preserve">CONDITIONS DE PRESCRIPTION ET DE DELIVRANCE</w:t>
      </w:r>
    </w:p>
    <w:p>
      <w:pPr>
        <w:spacing w:after="100" w:before="0"/>
        <w:jc w:val="left"/>
      </w:pPr>
      <w:r>
        <w:rPr>
          <w:rFonts w:ascii="Arial" w:cs="Arial" w:eastAsia="Arial" w:hAnsi="Arial"/>
          <w:b w:val="false"/>
          <w:bCs w:val="false"/>
          <w:sz w:val="21"/>
          <w:szCs w:val="21"/>
        </w:rPr>
        <w:t xml:space="preserve">&lt;Médicament non soumis à prescription médicale.&gt;</w:t>
      </w:r>
    </w:p>
    <w:p>
      <w:pPr>
        <w:spacing w:after="100" w:before="0"/>
        <w:jc w:val="left"/>
      </w:pPr>
      <w:r>
        <w:rPr>
          <w:rFonts w:ascii="Arial" w:cs="Arial" w:eastAsia="Arial" w:hAnsi="Arial"/>
          <w:b w:val="false"/>
          <w:bCs w:val="false"/>
          <w:sz w:val="21"/>
          <w:szCs w:val="21"/>
        </w:rPr>
        <w:t xml:space="preserve">&lt;Liste I&gt;</w:t>
      </w:r>
    </w:p>
    <w:p>
      <w:pPr>
        <w:spacing w:after="100" w:before="0"/>
        <w:jc w:val="left"/>
      </w:pPr>
      <w:r>
        <w:rPr>
          <w:rFonts w:ascii="Arial" w:cs="Arial" w:eastAsia="Arial" w:hAnsi="Arial"/>
          <w:b w:val="false"/>
          <w:bCs w:val="false"/>
          <w:sz w:val="21"/>
          <w:szCs w:val="21"/>
        </w:rPr>
        <w:t xml:space="preserve">&lt;Liste II&gt;</w:t>
      </w:r>
    </w:p>
    <w:p>
      <w:pPr>
        <w:spacing w:after="100" w:before="0"/>
        <w:jc w:val="left"/>
      </w:pPr>
      <w:r>
        <w:rPr>
          <w:rFonts w:ascii="Arial" w:cs="Arial" w:eastAsia="Arial" w:hAnsi="Arial"/>
          <w:b w:val="false"/>
          <w:bCs w:val="false"/>
          <w:sz w:val="21"/>
          <w:szCs w:val="21"/>
        </w:rPr>
        <w:t xml:space="preserve">&lt;Stupéfiant&gt;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des Caractéristiques du Produit — modèle officiel</dc:title>
  <dc:creator>Maquette ABMed 2026</dc:creator>
  <dc:description>Modèle officiel — Burkina Faso</dc:description>
  <cp:lastModifiedBy>Maquette ABMed 2026</cp:lastModifiedBy>
  <cp:revision>1</cp:revision>
  <dcterms:created xsi:type="dcterms:W3CDTF">2026-07-30T00:00:00.000Z</dcterms:created>
  <dcterms:modified xsi:type="dcterms:W3CDTF">2026-07-30T00:00:00.000Z</dcterms:modified>
</cp:coreProperties>
</file>

<file path=docProps/custom.xml><?xml version="1.0" encoding="utf-8"?>
<Properties xmlns="http://schemas.openxmlformats.org/officeDocument/2006/custom-properties" xmlns:vt="http://schemas.openxmlformats.org/officeDocument/2006/docPropsVTypes"/>
</file>