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ind w:left="5080"/>
        <w:jc w:val="left"/>
      </w:pPr>
      <w:r>
        <w:rPr>
          <w:rFonts w:ascii="Times New Roman" w:cs="Times New Roman" w:eastAsia="Times New Roman" w:hAnsi="Times New Roman"/>
          <w:b w:val="false"/>
          <w:bCs w:val="false"/>
          <w:sz w:val="24"/>
          <w:szCs w:val="24"/>
        </w:rPr>
        <w:t xml:space="preserve">Le 31 juillet 2026</w:t>
      </w:r>
    </w:p>
    <w:p>
      <w:pPr>
        <w:spacing w:after="120"/>
        <w:ind w:left="5080"/>
        <w:jc w:val="left"/>
      </w:pPr>
      <w:r>
        <w:rPr>
          <w:rFonts w:ascii="Times New Roman" w:cs="Times New Roman" w:eastAsia="Times New Roman" w:hAnsi="Times New Roman"/>
          <w:b w:val="false"/>
          <w:bCs w:val="false"/>
          <w:sz w:val="24"/>
          <w:szCs w:val="24"/>
        </w:rPr>
        <w:t xml:space="preserve">À</w:t>
      </w:r>
    </w:p>
    <w:p>
      <w:pPr>
        <w:spacing w:after="120"/>
        <w:ind w:left="5080"/>
        <w:jc w:val="left"/>
      </w:pPr>
      <w:r>
        <w:rPr>
          <w:rFonts w:ascii="Times New Roman" w:cs="Times New Roman" w:eastAsia="Times New Roman" w:hAnsi="Times New Roman"/>
          <w:b w:val="false"/>
          <w:bCs w:val="false"/>
          <w:sz w:val="24"/>
          <w:szCs w:val="24"/>
        </w:rPr>
        <w:t xml:space="preserve">Monsieur le Directeur Général</w:t>
      </w:r>
    </w:p>
    <w:p>
      <w:pPr>
        <w:spacing w:after="120"/>
        <w:ind w:left="5080"/>
        <w:jc w:val="left"/>
      </w:pPr>
      <w:r>
        <w:rPr>
          <w:rFonts w:ascii="Times New Roman" w:cs="Times New Roman" w:eastAsia="Times New Roman" w:hAnsi="Times New Roman"/>
          <w:b w:val="false"/>
          <w:bCs w:val="false"/>
          <w:sz w:val="24"/>
          <w:szCs w:val="24"/>
        </w:rPr>
        <w:t xml:space="preserve">Autorité Ivoirienne de Régulation Pharmaceutique (AIRP)</w:t>
      </w:r>
    </w:p>
    <w:p>
      <w:pPr>
        <w:spacing w:after="120"/>
        <w:ind w:left="5080"/>
        <w:jc w:val="left"/>
      </w:pPr>
      <w:r>
        <w:rPr>
          <w:rFonts w:ascii="Times New Roman" w:cs="Times New Roman" w:eastAsia="Times New Roman" w:hAnsi="Times New Roman"/>
          <w:b w:val="false"/>
          <w:bCs w:val="false"/>
          <w:sz w:val="24"/>
          <w:szCs w:val="24"/>
        </w:rPr>
        <w:t xml:space="preserve">Abidjan, Cocody</w:t>
      </w:r>
    </w:p>
    <w:p>
      <w:pPr>
        <w:spacing w:after="120"/>
        <w:jc w:val="left"/>
      </w:pPr>
      <w:r>
        <w:rPr>
          <w:rFonts w:ascii="Times New Roman" w:cs="Times New Roman" w:eastAsia="Times New Roman" w:hAnsi="Times New Roman"/>
          <w:b/>
          <w:bCs/>
          <w:sz w:val="24"/>
          <w:szCs w:val="24"/>
        </w:rPr>
        <w:t xml:space="preserve">Objet : Attestation de PGHT — renouvellement du produit …</w:t>
      </w:r>
    </w:p>
    <w:p>
      <w:pPr>
        <w:spacing w:after="120"/>
        <w:jc w:val="left"/>
      </w:pPr>
      <w:r>
        <w:rPr>
          <w:rFonts w:ascii="Times New Roman" w:cs="Times New Roman" w:eastAsia="Times New Roman" w:hAnsi="Times New Roman"/>
          <w:b w:val="false"/>
          <w:bCs w:val="false"/>
          <w:sz w:val="24"/>
          <w:szCs w:val="24"/>
        </w:rPr>
        <w:t xml:space="preserve">Monsieur le Directeur Général,</w:t>
      </w:r>
    </w:p>
    <w:p>
      <w:pPr>
        <w:spacing w:after="120"/>
        <w:jc w:val="left"/>
      </w:pPr>
      <w:r>
        <w:rPr>
          <w:rFonts w:ascii="Times New Roman" w:cs="Times New Roman" w:eastAsia="Times New Roman" w:hAnsi="Times New Roman"/>
          <w:b w:val="false"/>
          <w:bCs w:val="false"/>
          <w:sz w:val="24"/>
          <w:szCs w:val="24"/>
        </w:rPr>
        <w:t xml:space="preserve">Nous venons par la présente, solliciter auprès de votre haute bienveillance, le renouvellement de l'autorisation de mise sur le marché (AMM) de notre spécialité pharmaceutique dont les informations et le Prix Grossiste Hors Taxe (PGHT) sont consignés dans le tableau suivant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Height w:val="420" w:hRule="atLeast"/>
        </w:trPr>
        <w:tc>
          <w:tcPr>
            <w:shd w:fill="F1F4F9" w:color="auto" w:val="clear"/>
            <w:tcMar>
              <w:top w:type="dxa" w:w="90"/>
              <w:left w:type="dxa" w:w="130"/>
              <w:bottom w:type="dxa" w:w="90"/>
              <w:right w:type="dxa" w:w="130"/>
            </w:tcMar>
            <w:vAlign w:val="center"/>
          </w:tcPr>
          <w:p>
            <w:pPr>
              <w:spacing w:after="0" w:before="0" w:line="240"/>
            </w:pPr>
            <w:r>
              <w:rPr>
                <w:rFonts w:ascii="Times New Roman" w:cs="Times New Roman" w:eastAsia="Times New Roman" w:hAnsi="Times New Roman"/>
                <w:b/>
                <w:bCs/>
                <w:sz w:val="20"/>
                <w:szCs w:val="20"/>
              </w:rPr>
              <w:t xml:space="preserve">Nom commercial</w:t>
            </w:r>
          </w:p>
        </w:tc>
        <w:tc>
          <w:tcPr>
            <w:shd w:fill="F1F4F9" w:color="auto" w:val="clear"/>
            <w:tcMar>
              <w:top w:type="dxa" w:w="90"/>
              <w:left w:type="dxa" w:w="130"/>
              <w:bottom w:type="dxa" w:w="90"/>
              <w:right w:type="dxa" w:w="130"/>
            </w:tcMar>
            <w:vAlign w:val="center"/>
          </w:tcPr>
          <w:p>
            <w:pPr>
              <w:spacing w:after="0" w:before="0" w:line="240"/>
            </w:pPr>
            <w:r>
              <w:rPr>
                <w:rFonts w:ascii="Times New Roman" w:cs="Times New Roman" w:eastAsia="Times New Roman" w:hAnsi="Times New Roman"/>
                <w:b/>
                <w:bCs/>
                <w:sz w:val="20"/>
                <w:szCs w:val="20"/>
              </w:rPr>
              <w:t xml:space="preserve">DCI et dosage</w:t>
            </w:r>
          </w:p>
        </w:tc>
        <w:tc>
          <w:tcPr>
            <w:shd w:fill="F1F4F9" w:color="auto" w:val="clear"/>
            <w:tcMar>
              <w:top w:type="dxa" w:w="90"/>
              <w:left w:type="dxa" w:w="130"/>
              <w:bottom w:type="dxa" w:w="90"/>
              <w:right w:type="dxa" w:w="130"/>
            </w:tcMar>
            <w:vAlign w:val="center"/>
          </w:tcPr>
          <w:p>
            <w:pPr>
              <w:spacing w:after="0" w:before="0" w:line="240"/>
            </w:pPr>
            <w:r>
              <w:rPr>
                <w:rFonts w:ascii="Times New Roman" w:cs="Times New Roman" w:eastAsia="Times New Roman" w:hAnsi="Times New Roman"/>
                <w:b/>
                <w:bCs/>
                <w:sz w:val="20"/>
                <w:szCs w:val="20"/>
              </w:rPr>
              <w:t xml:space="preserve">Forme et présentation</w:t>
            </w:r>
          </w:p>
        </w:tc>
        <w:tc>
          <w:tcPr>
            <w:shd w:fill="F1F4F9" w:color="auto" w:val="clear"/>
            <w:tcMar>
              <w:top w:type="dxa" w:w="90"/>
              <w:left w:type="dxa" w:w="130"/>
              <w:bottom w:type="dxa" w:w="90"/>
              <w:right w:type="dxa" w:w="130"/>
            </w:tcMar>
            <w:vAlign w:val="center"/>
          </w:tcPr>
          <w:p>
            <w:pPr>
              <w:spacing w:after="0" w:before="0" w:line="240"/>
            </w:pPr>
            <w:r>
              <w:rPr>
                <w:rFonts w:ascii="Times New Roman" w:cs="Times New Roman" w:eastAsia="Times New Roman" w:hAnsi="Times New Roman"/>
                <w:b/>
                <w:bCs/>
                <w:sz w:val="20"/>
                <w:szCs w:val="20"/>
              </w:rPr>
              <w:t xml:space="preserve">PGHT (FCFA)</w:t>
            </w:r>
          </w:p>
        </w:tc>
      </w:tr>
      <w:tr>
        <w:trPr>
          <w:tblHeader w:val="false"/>
          <w:trHeight w:val="420" w:hRule="atLeast"/>
        </w:trPr>
        <w:tc>
          <w:tcPr>
            <w:tcMar>
              <w:top w:type="dxa" w:w="90"/>
              <w:left w:type="dxa" w:w="130"/>
              <w:bottom w:type="dxa" w:w="90"/>
              <w:right w:type="dxa" w:w="130"/>
            </w:tcMar>
            <w:vAlign w:val="center"/>
          </w:tcPr>
          <w:p>
            <w:pPr>
              <w:spacing w:after="0" w:before="0" w:line="240"/>
            </w:pPr>
            <w:r>
              <w:rPr>
                <w:rFonts w:ascii="Times New Roman" w:cs="Times New Roman" w:eastAsia="Times New Roman" w:hAnsi="Times New Roman"/>
                <w:b w:val="false"/>
                <w:bCs w:val="false"/>
                <w:sz w:val="20"/>
                <w:szCs w:val="20"/>
              </w:rPr>
              <w:t xml:space="preserve">Gélule gastro-résistante, boîte de 3 plaquettes de 10</w:t>
            </w:r>
          </w:p>
        </w:tc>
        <w:tc>
          <w:tcPr>
            <w:tcMar>
              <w:top w:type="dxa" w:w="90"/>
              <w:left w:type="dxa" w:w="130"/>
              <w:bottom w:type="dxa" w:w="90"/>
              <w:right w:type="dxa" w:w="130"/>
            </w:tcMar>
            <w:vAlign w:val="center"/>
          </w:tcPr>
          <w:p>
            <w:pPr>
              <w:spacing w:after="0" w:before="0" w:line="240"/>
            </w:pPr>
            <w:r>
              <w:rPr>
                <w:rFonts w:ascii="Times New Roman" w:cs="Times New Roman" w:eastAsia="Times New Roman" w:hAnsi="Times New Roman"/>
                <w:b w:val="false"/>
                <w:bCs w:val="false"/>
                <w:sz w:val="20"/>
                <w:szCs w:val="20"/>
              </w:rPr>
              <w:t xml:space="preserve">Amoxicilline 500 mg</w:t>
            </w:r>
          </w:p>
        </w:tc>
        <w:tc>
          <w:tcPr>
            <w:tcMar>
              <w:top w:type="dxa" w:w="90"/>
              <w:left w:type="dxa" w:w="130"/>
              <w:bottom w:type="dxa" w:w="90"/>
              <w:right w:type="dxa" w:w="130"/>
            </w:tcMar>
            <w:vAlign w:val="center"/>
          </w:tcPr>
          <w:p>
            <w:pPr>
              <w:spacing w:after="0" w:before="0" w:line="240"/>
            </w:pPr>
            <w:r>
              <w:rPr>
                <w:rFonts w:ascii="Times New Roman" w:cs="Times New Roman" w:eastAsia="Times New Roman" w:hAnsi="Times New Roman"/>
                <w:b w:val="false"/>
                <w:bCs w:val="false"/>
                <w:sz w:val="20"/>
                <w:szCs w:val="20"/>
              </w:rPr>
              <w:t xml:space="preserve">…</w:t>
            </w:r>
          </w:p>
        </w:tc>
        <w:tc>
          <w:tcPr>
            <w:tcMar>
              <w:top w:type="dxa" w:w="90"/>
              <w:left w:type="dxa" w:w="130"/>
              <w:bottom w:type="dxa" w:w="90"/>
              <w:right w:type="dxa" w:w="130"/>
            </w:tcMar>
            <w:vAlign w:val="center"/>
          </w:tcPr>
          <w:p>
            <w:pPr>
              <w:spacing w:after="0" w:before="0" w:line="240"/>
            </w:pPr>
            <w:r>
              <w:rPr>
                <w:rFonts w:ascii="Times New Roman" w:cs="Times New Roman" w:eastAsia="Times New Roman" w:hAnsi="Times New Roman"/>
                <w:b w:val="false"/>
                <w:bCs w:val="false"/>
                <w:sz w:val="20"/>
                <w:szCs w:val="20"/>
              </w:rPr>
              <w:t xml:space="preserve">12 500</w:t>
            </w:r>
          </w:p>
        </w:tc>
      </w:tr>
    </w:tbl>
    <w:p>
      <w:pPr>
        <w:spacing w:after="120"/>
        <w:jc w:val="left"/>
      </w:pPr>
      <w:r>
        <w:rPr>
          <w:rFonts w:ascii="Times New Roman" w:cs="Times New Roman" w:eastAsia="Times New Roman" w:hAnsi="Times New Roman"/>
          <w:b w:val="false"/>
          <w:bCs w:val="false"/>
          <w:sz w:val="24"/>
          <w:szCs w:val="24"/>
        </w:rPr>
        <w:t xml:space="preserve">Nous restons à votre entière disposition pour tout complément d'information.</w:t>
      </w:r>
    </w:p>
    <w:p>
      <w:pPr>
        <w:spacing w:after="120"/>
        <w:jc w:val="left"/>
      </w:pPr>
      <w:r>
        <w:rPr>
          <w:rFonts w:ascii="Times New Roman" w:cs="Times New Roman" w:eastAsia="Times New Roman" w:hAnsi="Times New Roman"/>
          <w:b w:val="false"/>
          <w:bCs w:val="false"/>
          <w:sz w:val="24"/>
          <w:szCs w:val="24"/>
        </w:rPr>
        <w:t xml:space="preserve">Dans l'espoir d'une suite favorable, nous vous prions de recevoir, Monsieur le Directeur Général, l'expression de notre sincère collaboration.</w:t>
      </w:r>
    </w:p>
    <w:p>
      <w:pPr>
        <w:spacing w:after="120"/>
        <w:ind w:left="5080"/>
        <w:jc w:val="left"/>
      </w:pPr>
      <w:r>
        <w:rPr>
          <w:rFonts w:ascii="Times New Roman" w:cs="Times New Roman" w:eastAsia="Times New Roman" w:hAnsi="Times New Roman"/>
          <w:b w:val="false"/>
          <w:bCs w:val="false"/>
          <w:sz w:val="24"/>
          <w:szCs w:val="24"/>
        </w:rPr>
        <w:t xml:space="preserve">Poste</w:t>
      </w:r>
    </w:p>
    <w:p>
      <w:pPr>
        <w:spacing w:after="120"/>
        <w:ind w:left="5080"/>
        <w:jc w:val="left"/>
      </w:pPr>
      <w:r>
        <w:rPr>
          <w:rFonts w:ascii="Times New Roman" w:cs="Times New Roman" w:eastAsia="Times New Roman" w:hAnsi="Times New Roman"/>
          <w:b w:val="false"/>
          <w:bCs w:val="false"/>
          <w:sz w:val="24"/>
          <w:szCs w:val="24"/>
        </w:rPr>
        <w:t xml:space="preserve">Signature et Cachet</w:t>
      </w:r>
    </w:p>
    <w:p>
      <w:pPr>
        <w:spacing w:after="120"/>
        <w:ind w:left="5080"/>
        <w:jc w:val="left"/>
      </w:pPr>
      <w:r>
        <w:rPr>
          <w:rFonts w:ascii="Times New Roman" w:cs="Times New Roman" w:eastAsia="Times New Roman" w:hAnsi="Times New Roman"/>
          <w:b w:val="false"/>
          <w:bCs w:val="false"/>
          <w:sz w:val="24"/>
          <w:szCs w:val="24"/>
        </w:rPr>
        <w:t xml:space="preserve">Nom et Prénom(s)</w:t>
      </w:r>
    </w:p>
    <w:sectPr>
      <w:footerReference w:type="default" r:id="rId7"/>
      <w:pgSz w:w="11906" w:h="16838" w:orient="portrait"/>
      <w:pgMar w:top="1134" w:right="1134" w:bottom="1418"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right"/>
    </w:pPr>
    <w:r>
      <w:rPr>
        <w:rFonts w:ascii="Arial" w:cs="Arial" w:eastAsia="Arial" w:hAnsi="Arial"/>
        <w:color w:val="9AA1A9"/>
        <w:sz w:val="15"/>
        <w:szCs w:val="15"/>
      </w:rPr>
      <w:t xml:space="preserve">Modèle UEMOA — PGHT — Côte d'Ivoire — by </w:t>
    </w:r>
    <w:hyperlink w:history="1" r:id="rIdze7rr-d3ovm2tl6gzqj8a">
      <w:r>
        <w:rPr>
          <w:rFonts w:ascii="Arial" w:cs="Arial" w:eastAsia="Arial" w:hAnsi="Arial"/>
          <w:color w:val="9AA1A9"/>
          <w:sz w:val="15"/>
          <w:szCs w:val="15"/>
          <w:u w:val="single"/>
        </w:rPr>
        <w:t xml:space="preserve">Pharnos</w:t>
      </w:r>
    </w:hyperlink>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ze7rr-d3ovm2tl6gzqj8a" Type="http://schemas.openxmlformats.org/officeDocument/2006/relationships/hyperlink" Target="https://pharnos.com/" TargetMode="Externa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2026-07-31T11:46:34.636Z</dcterms:created>
  <dcterms:modified xsi:type="dcterms:W3CDTF">2026-07-31T11:46:34.636Z</dcterms:modified>
</cp:coreProperties>
</file>

<file path=docProps/custom.xml><?xml version="1.0" encoding="utf-8"?>
<Properties xmlns="http://schemas.openxmlformats.org/officeDocument/2006/custom-properties" xmlns:vt="http://schemas.openxmlformats.org/officeDocument/2006/docPropsVTypes"/>
</file>