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B7E7" w14:textId="77777777" w:rsidR="005227EE" w:rsidRDefault="005227EE" w:rsidP="00D534E8">
      <w:pPr>
        <w:pStyle w:val="Heading1"/>
        <w:rPr>
          <w:rFonts w:ascii="Museo 500" w:hAnsi="Museo 500"/>
          <w:sz w:val="36"/>
        </w:rPr>
      </w:pPr>
      <w:r>
        <w:t>Mobile Device Policy</w:t>
      </w:r>
    </w:p>
    <w:p w14:paraId="3F9BD8E8" w14:textId="28D7E9EE" w:rsidR="003E192C" w:rsidRPr="003E192C" w:rsidRDefault="003E192C" w:rsidP="00D534E8">
      <w:pPr>
        <w:pStyle w:val="Heading2"/>
      </w:pPr>
      <w:r w:rsidRPr="003E192C">
        <w:t>Overview</w:t>
      </w:r>
    </w:p>
    <w:p w14:paraId="58DD1AC4" w14:textId="57DFDD83" w:rsidR="002173E7" w:rsidRPr="002D5BB3" w:rsidRDefault="002173E7" w:rsidP="00D534E8">
      <w:pPr>
        <w:pStyle w:val="PolicyText1"/>
      </w:pPr>
      <w:r>
        <w:t>Mobile</w:t>
      </w:r>
      <w:r w:rsidRPr="009C69A2">
        <w:t xml:space="preserve"> computing devices </w:t>
      </w:r>
      <w:r w:rsidR="00FC2D94">
        <w:t>(</w:t>
      </w:r>
      <w:r w:rsidR="00012820">
        <w:t>s</w:t>
      </w:r>
      <w:r w:rsidR="00FC2D94">
        <w:t>martphones, tablets, convertible laptops</w:t>
      </w:r>
      <w:r w:rsidR="00012820">
        <w:t>,</w:t>
      </w:r>
      <w:r w:rsidR="00FC2D94">
        <w:t xml:space="preserve"> and various other personal computing devices) </w:t>
      </w:r>
      <w:r w:rsidRPr="009C69A2">
        <w:t xml:space="preserve">are becoming </w:t>
      </w:r>
      <w:r w:rsidR="00890197">
        <w:t>a</w:t>
      </w:r>
      <w:r w:rsidR="00012820">
        <w:t>n</w:t>
      </w:r>
      <w:r w:rsidR="00890197">
        <w:t xml:space="preserve"> </w:t>
      </w:r>
      <w:r>
        <w:t xml:space="preserve">implementation standard </w:t>
      </w:r>
      <w:r w:rsidR="00890197">
        <w:t xml:space="preserve">in </w:t>
      </w:r>
      <w:r>
        <w:t>today’s computing environment</w:t>
      </w:r>
      <w:r w:rsidRPr="009C69A2">
        <w:t>.  Their size</w:t>
      </w:r>
      <w:r>
        <w:t>, portability,</w:t>
      </w:r>
      <w:r w:rsidRPr="009C69A2">
        <w:t xml:space="preserve"> and </w:t>
      </w:r>
      <w:r>
        <w:t xml:space="preserve">ever- increasing </w:t>
      </w:r>
      <w:r w:rsidRPr="009C69A2">
        <w:t xml:space="preserve">functionality are making </w:t>
      </w:r>
      <w:r>
        <w:t xml:space="preserve">the </w:t>
      </w:r>
      <w:r w:rsidRPr="009C69A2">
        <w:t xml:space="preserve">devices desirable </w:t>
      </w:r>
      <w:r>
        <w:t xml:space="preserve">in replacing </w:t>
      </w:r>
      <w:r w:rsidRPr="009C69A2">
        <w:t xml:space="preserve">traditional </w:t>
      </w:r>
      <w:r>
        <w:t xml:space="preserve">desktop </w:t>
      </w:r>
      <w:r w:rsidR="00012820">
        <w:t>devices</w:t>
      </w:r>
      <w:r w:rsidRPr="009C69A2">
        <w:t xml:space="preserve">.  However, the portability offered by these devices </w:t>
      </w:r>
      <w:r w:rsidR="00FC2D94">
        <w:t xml:space="preserve">can also </w:t>
      </w:r>
      <w:r w:rsidRPr="009C69A2">
        <w:t xml:space="preserve">increase security exposure to </w:t>
      </w:r>
      <w:r w:rsidR="00012820">
        <w:t>individuals</w:t>
      </w:r>
      <w:r w:rsidR="00FC2D94">
        <w:t xml:space="preserve"> </w:t>
      </w:r>
      <w:r w:rsidRPr="009C69A2">
        <w:t>using the devices.</w:t>
      </w:r>
    </w:p>
    <w:p w14:paraId="3558ACEB" w14:textId="6B18D53C" w:rsidR="003E192C" w:rsidRPr="003E192C" w:rsidRDefault="003E192C" w:rsidP="00D534E8">
      <w:pPr>
        <w:pStyle w:val="Heading2"/>
      </w:pPr>
      <w:r w:rsidRPr="003E192C">
        <w:t>Purpose</w:t>
      </w:r>
    </w:p>
    <w:p w14:paraId="25EE7370" w14:textId="7052FF0B" w:rsidR="002173E7" w:rsidRPr="000576EE" w:rsidRDefault="002173E7" w:rsidP="00D534E8">
      <w:pPr>
        <w:pStyle w:val="PolicyText1"/>
      </w:pPr>
      <w:r w:rsidRPr="009C69A2">
        <w:t xml:space="preserve">The purpose of this </w:t>
      </w:r>
      <w:r w:rsidR="00012820">
        <w:t>p</w:t>
      </w:r>
      <w:r w:rsidRPr="009C69A2">
        <w:t xml:space="preserve">olicy is to establish the </w:t>
      </w:r>
      <w:r w:rsidR="00FC2D94">
        <w:t xml:space="preserve">procedures and protocols </w:t>
      </w:r>
      <w:r w:rsidRPr="009C69A2">
        <w:t xml:space="preserve">for the use of </w:t>
      </w:r>
      <w:r w:rsidR="00FC2D94">
        <w:t>m</w:t>
      </w:r>
      <w:r>
        <w:t xml:space="preserve">obile </w:t>
      </w:r>
      <w:r w:rsidRPr="009C69A2">
        <w:t xml:space="preserve">devices and their connection to the network.  </w:t>
      </w:r>
    </w:p>
    <w:p w14:paraId="47CF4EC7" w14:textId="6B015797" w:rsidR="003E192C" w:rsidRPr="003E192C" w:rsidRDefault="003E192C" w:rsidP="00D534E8">
      <w:pPr>
        <w:pStyle w:val="Heading2"/>
      </w:pPr>
      <w:r w:rsidRPr="003E192C">
        <w:t>Scope</w:t>
      </w:r>
    </w:p>
    <w:p w14:paraId="770DFFE2" w14:textId="538C45E1" w:rsidR="003E192C" w:rsidRPr="003E192C" w:rsidRDefault="005227EE" w:rsidP="00D534E8">
      <w:pPr>
        <w:pStyle w:val="PolicyText1"/>
      </w:pPr>
      <w:r>
        <w:t xml:space="preserve">This policy applies to all [LEP] </w:t>
      </w:r>
      <w:r w:rsidR="003E192C" w:rsidRPr="003E192C">
        <w:t>staff</w:t>
      </w:r>
      <w:r w:rsidR="002173E7">
        <w:t xml:space="preserve"> who use personal</w:t>
      </w:r>
      <w:r w:rsidR="00012820">
        <w:t xml:space="preserve"> devices for business purposes</w:t>
      </w:r>
      <w:r>
        <w:t xml:space="preserve"> or business-</w:t>
      </w:r>
      <w:r w:rsidR="002173E7">
        <w:t>issued mobile computing devices</w:t>
      </w:r>
      <w:r w:rsidR="00B6345D">
        <w:t>.</w:t>
      </w:r>
    </w:p>
    <w:p w14:paraId="6F1E67E7" w14:textId="68F73BEB" w:rsidR="003E192C" w:rsidRDefault="003E192C" w:rsidP="00D534E8">
      <w:pPr>
        <w:pStyle w:val="Heading2"/>
      </w:pPr>
      <w:r w:rsidRPr="003E192C">
        <w:t>Policy</w:t>
      </w:r>
    </w:p>
    <w:p w14:paraId="7C84EAD9" w14:textId="77777777" w:rsidR="0039035F" w:rsidRDefault="0039035F" w:rsidP="00D534E8">
      <w:pPr>
        <w:pStyle w:val="Heading3"/>
      </w:pPr>
      <w:r>
        <w:t>GENERAL</w:t>
      </w:r>
    </w:p>
    <w:p w14:paraId="12327042" w14:textId="07873ADD" w:rsidR="00DE2BBF" w:rsidRDefault="00FC2D94" w:rsidP="00D534E8">
      <w:pPr>
        <w:pStyle w:val="PolicyText2"/>
      </w:pPr>
      <w:r w:rsidRPr="00761EAB">
        <w:t xml:space="preserve">All mobile devices, whether owned by </w:t>
      </w:r>
      <w:r w:rsidR="005227EE">
        <w:t xml:space="preserve">[LEP] </w:t>
      </w:r>
      <w:r>
        <w:t>o</w:t>
      </w:r>
      <w:r w:rsidRPr="00761EAB">
        <w:t xml:space="preserve">r owned by </w:t>
      </w:r>
      <w:r>
        <w:t>staff</w:t>
      </w:r>
      <w:r w:rsidR="00012820">
        <w:t>,</w:t>
      </w:r>
      <w:r>
        <w:t xml:space="preserve"> </w:t>
      </w:r>
      <w:r w:rsidR="005227EE">
        <w:t>that have access to</w:t>
      </w:r>
      <w:r>
        <w:t xml:space="preserve"> systems and applications </w:t>
      </w:r>
      <w:r w:rsidRPr="00761EAB">
        <w:t xml:space="preserve">are governed by this </w:t>
      </w:r>
      <w:r>
        <w:t>policy</w:t>
      </w:r>
      <w:r w:rsidRPr="00761EAB">
        <w:t>.</w:t>
      </w:r>
      <w:r>
        <w:t xml:space="preserve">  Application</w:t>
      </w:r>
      <w:r w:rsidR="00012820">
        <w:t>s</w:t>
      </w:r>
      <w:r>
        <w:t xml:space="preserve">, including cloud storage software </w:t>
      </w:r>
      <w:r w:rsidRPr="00E537F8">
        <w:t xml:space="preserve">used by </w:t>
      </w:r>
      <w:r>
        <w:t>staff</w:t>
      </w:r>
      <w:r w:rsidRPr="00E537F8">
        <w:t xml:space="preserve"> on their own personal devices are also subject to this policy.</w:t>
      </w:r>
      <w:r>
        <w:t xml:space="preserve">  </w:t>
      </w:r>
      <w:r w:rsidR="00DE2BBF">
        <w:t>The following general procedures and protocols apply to the use of mobile devices:</w:t>
      </w:r>
    </w:p>
    <w:p w14:paraId="69E9EA47" w14:textId="1E57480D" w:rsidR="00012820" w:rsidRDefault="00DE2BBF" w:rsidP="00D534E8">
      <w:pPr>
        <w:pStyle w:val="PolicyText2"/>
        <w:numPr>
          <w:ilvl w:val="0"/>
          <w:numId w:val="33"/>
        </w:numPr>
      </w:pPr>
      <w:r w:rsidRPr="00FC2D94">
        <w:t>M</w:t>
      </w:r>
      <w:r w:rsidR="0039035F" w:rsidRPr="00FC2D94">
        <w:t>obile computing devices must be protected with a password required at the</w:t>
      </w:r>
      <w:r w:rsidR="00012820">
        <w:t xml:space="preserve"> time the device is powered on</w:t>
      </w:r>
      <w:r w:rsidR="0039035F" w:rsidRPr="00FC2D94">
        <w:t xml:space="preserve"> </w:t>
      </w:r>
    </w:p>
    <w:p w14:paraId="34095D55" w14:textId="1573E701" w:rsidR="0039035F" w:rsidRPr="00FC2D94" w:rsidRDefault="00DE2BBF" w:rsidP="00D534E8">
      <w:pPr>
        <w:pStyle w:val="PolicyText2"/>
        <w:numPr>
          <w:ilvl w:val="0"/>
          <w:numId w:val="33"/>
        </w:numPr>
      </w:pPr>
      <w:r w:rsidRPr="00FC2D94">
        <w:t>P</w:t>
      </w:r>
      <w:r w:rsidR="0039035F" w:rsidRPr="00FC2D94">
        <w:t>assword</w:t>
      </w:r>
      <w:r w:rsidRPr="00FC2D94">
        <w:t>s</w:t>
      </w:r>
      <w:r w:rsidR="0039035F" w:rsidRPr="00FC2D94">
        <w:t xml:space="preserve"> must meet the requirements </w:t>
      </w:r>
      <w:r w:rsidRPr="00FC2D94">
        <w:t xml:space="preserve">outlined in the </w:t>
      </w:r>
      <w:r w:rsidR="005227EE">
        <w:t xml:space="preserve">[LEP] </w:t>
      </w:r>
      <w:commentRangeStart w:id="0"/>
      <w:r w:rsidR="005227EE">
        <w:t xml:space="preserve">Access Control and </w:t>
      </w:r>
      <w:r w:rsidR="0039035F" w:rsidRPr="00FC2D94">
        <w:t>Password Policy</w:t>
      </w:r>
      <w:commentRangeEnd w:id="0"/>
      <w:r w:rsidR="005227EE">
        <w:rPr>
          <w:rStyle w:val="CommentReference"/>
        </w:rPr>
        <w:commentReference w:id="0"/>
      </w:r>
    </w:p>
    <w:p w14:paraId="664E590C" w14:textId="1A71C165" w:rsidR="0039035F" w:rsidRPr="00FC2D94" w:rsidRDefault="00FC2D94" w:rsidP="00D534E8">
      <w:pPr>
        <w:pStyle w:val="PolicyText2"/>
        <w:numPr>
          <w:ilvl w:val="0"/>
          <w:numId w:val="33"/>
        </w:numPr>
      </w:pPr>
      <w:r>
        <w:t>All</w:t>
      </w:r>
      <w:r w:rsidR="00DE2BBF" w:rsidRPr="00FC2D94">
        <w:t xml:space="preserve"> data stored on mobile devices shall be encrypted</w:t>
      </w:r>
    </w:p>
    <w:p w14:paraId="191503BB" w14:textId="7AE1D040" w:rsidR="00012820" w:rsidRDefault="00FC2D94" w:rsidP="00D534E8">
      <w:pPr>
        <w:pStyle w:val="PolicyText2"/>
        <w:numPr>
          <w:ilvl w:val="0"/>
          <w:numId w:val="33"/>
        </w:numPr>
      </w:pPr>
      <w:r w:rsidRPr="00FC2D94">
        <w:t>Wireless encrypted security and access protocols shall be used with a</w:t>
      </w:r>
      <w:r w:rsidR="00012820">
        <w:t>ll wireless network connections</w:t>
      </w:r>
      <w:r w:rsidRPr="00FC2D94">
        <w:t xml:space="preserve">  </w:t>
      </w:r>
    </w:p>
    <w:p w14:paraId="66BB1306" w14:textId="43FF0E6D" w:rsidR="0039035F" w:rsidRPr="00FC2D94" w:rsidRDefault="00FC2D94" w:rsidP="00D534E8">
      <w:pPr>
        <w:pStyle w:val="PolicyText2"/>
        <w:numPr>
          <w:ilvl w:val="0"/>
          <w:numId w:val="33"/>
        </w:numPr>
      </w:pPr>
      <w:r w:rsidRPr="00FC2D94">
        <w:t>Staff shall refrain from using public or unsecured network connections while using their mobile device for work</w:t>
      </w:r>
    </w:p>
    <w:p w14:paraId="31D5BC13" w14:textId="30AA1BC9" w:rsidR="00FC2D94" w:rsidRPr="00FC2D94" w:rsidRDefault="00FC2D94" w:rsidP="00D534E8">
      <w:pPr>
        <w:pStyle w:val="PolicyText2"/>
        <w:numPr>
          <w:ilvl w:val="0"/>
          <w:numId w:val="33"/>
        </w:numPr>
      </w:pPr>
      <w:r w:rsidRPr="00FC2D94">
        <w:t xml:space="preserve">Personal </w:t>
      </w:r>
      <w:r w:rsidR="0039035F" w:rsidRPr="00FC2D94">
        <w:t xml:space="preserve">mobile </w:t>
      </w:r>
      <w:r w:rsidRPr="00FC2D94">
        <w:t xml:space="preserve">computing </w:t>
      </w:r>
      <w:r w:rsidR="0039035F" w:rsidRPr="00FC2D94">
        <w:t xml:space="preserve">devices that require network connectivity must conform to </w:t>
      </w:r>
      <w:r w:rsidRPr="00FC2D94">
        <w:t xml:space="preserve">all </w:t>
      </w:r>
      <w:r w:rsidR="005227EE">
        <w:t xml:space="preserve">[LEP] </w:t>
      </w:r>
      <w:r w:rsidR="0039035F" w:rsidRPr="00FC2D94">
        <w:t xml:space="preserve">standards </w:t>
      </w:r>
      <w:r w:rsidR="00012820">
        <w:t>for use and configuration</w:t>
      </w:r>
    </w:p>
    <w:p w14:paraId="6F9CF825" w14:textId="3276836F" w:rsidR="0039035F" w:rsidRPr="00FC2D94" w:rsidRDefault="00FC2D94" w:rsidP="00D534E8">
      <w:pPr>
        <w:pStyle w:val="PolicyText2"/>
        <w:numPr>
          <w:ilvl w:val="0"/>
          <w:numId w:val="33"/>
        </w:numPr>
      </w:pPr>
      <w:r w:rsidRPr="00FC2D94">
        <w:t xml:space="preserve">Personal devices used for work business shall be registered with the </w:t>
      </w:r>
      <w:r w:rsidR="00A30D4F">
        <w:t xml:space="preserve">[Insert Appropriate Role] </w:t>
      </w:r>
      <w:r w:rsidR="0039035F" w:rsidRPr="00FC2D94">
        <w:t xml:space="preserve">approved by </w:t>
      </w:r>
      <w:r w:rsidR="00012820">
        <w:t>[Insert Appropriate Department]</w:t>
      </w:r>
    </w:p>
    <w:p w14:paraId="73E89C13" w14:textId="469D2832" w:rsidR="0039035F" w:rsidRPr="00FC2D94" w:rsidRDefault="0039035F" w:rsidP="00D534E8">
      <w:pPr>
        <w:pStyle w:val="PolicyText2"/>
        <w:numPr>
          <w:ilvl w:val="0"/>
          <w:numId w:val="33"/>
        </w:numPr>
      </w:pPr>
      <w:r w:rsidRPr="00FC2D94">
        <w:t xml:space="preserve">Unattended mobile computing devices </w:t>
      </w:r>
      <w:r w:rsidR="00FC2D94" w:rsidRPr="00FC2D94">
        <w:t xml:space="preserve">shall </w:t>
      </w:r>
      <w:r w:rsidRPr="00FC2D94">
        <w:t xml:space="preserve">be </w:t>
      </w:r>
      <w:r w:rsidR="00012820">
        <w:t>physically secured</w:t>
      </w:r>
    </w:p>
    <w:p w14:paraId="3DB86FD3" w14:textId="459001FE" w:rsidR="00FC2D94" w:rsidRDefault="00FC2D94" w:rsidP="00D534E8">
      <w:pPr>
        <w:pStyle w:val="PolicyText2"/>
        <w:numPr>
          <w:ilvl w:val="0"/>
          <w:numId w:val="33"/>
        </w:numPr>
      </w:pPr>
      <w:r>
        <w:t>M</w:t>
      </w:r>
      <w:r w:rsidR="0039035F" w:rsidRPr="00FC2D94">
        <w:t xml:space="preserve">obile computing devices that access </w:t>
      </w:r>
      <w:r w:rsidRPr="00FC2D94">
        <w:t xml:space="preserve">the </w:t>
      </w:r>
      <w:r w:rsidR="005227EE">
        <w:t>[LEP] n</w:t>
      </w:r>
      <w:r w:rsidR="0039035F" w:rsidRPr="00FC2D94">
        <w:t>etwork shall have active and up-to-date anti-</w:t>
      </w:r>
      <w:r w:rsidR="00012820">
        <w:t>malware and firewall protection</w:t>
      </w:r>
    </w:p>
    <w:p w14:paraId="67A6D348" w14:textId="3A984402" w:rsidR="0039035F" w:rsidRPr="00FC2D94" w:rsidRDefault="00FC2D94" w:rsidP="00D534E8">
      <w:pPr>
        <w:pStyle w:val="PolicyText2"/>
        <w:numPr>
          <w:ilvl w:val="0"/>
          <w:numId w:val="33"/>
        </w:numPr>
      </w:pPr>
      <w:r>
        <w:lastRenderedPageBreak/>
        <w:t>Lost and stolen devices</w:t>
      </w:r>
      <w:r w:rsidR="0039035F" w:rsidRPr="00FC2D94">
        <w:t xml:space="preserve"> </w:t>
      </w:r>
      <w:r>
        <w:t xml:space="preserve">shall have locations services enabled and the units “bricked” </w:t>
      </w:r>
      <w:r w:rsidR="00410ACD">
        <w:t xml:space="preserve">or wiped of all information </w:t>
      </w:r>
      <w:r>
        <w:t>so they are unusable until</w:t>
      </w:r>
      <w:r w:rsidR="00012820">
        <w:t xml:space="preserve"> recovered or destroyed</w:t>
      </w:r>
    </w:p>
    <w:p w14:paraId="06046500" w14:textId="77777777" w:rsidR="0039035F" w:rsidRDefault="0039035F" w:rsidP="00D534E8">
      <w:pPr>
        <w:pStyle w:val="Heading3"/>
      </w:pPr>
      <w:r>
        <w:t>USER DEVICE RESPONSIBILITIES</w:t>
      </w:r>
    </w:p>
    <w:p w14:paraId="71A35D6E" w14:textId="77777777" w:rsidR="0039035F" w:rsidRDefault="00DE2BBF" w:rsidP="00D534E8">
      <w:pPr>
        <w:pStyle w:val="PolicyText2"/>
      </w:pPr>
      <w:r>
        <w:t>The following procedures and requirements shall be followed by all users of mobile devices</w:t>
      </w:r>
      <w:r w:rsidR="0039035F">
        <w:t>:</w:t>
      </w:r>
    </w:p>
    <w:p w14:paraId="23443A27" w14:textId="0896F223" w:rsidR="0039035F" w:rsidRPr="008A78B7" w:rsidRDefault="0039035F" w:rsidP="00D534E8">
      <w:pPr>
        <w:pStyle w:val="PolicyText2"/>
        <w:numPr>
          <w:ilvl w:val="0"/>
          <w:numId w:val="34"/>
        </w:numPr>
      </w:pPr>
      <w:r>
        <w:t>Staff</w:t>
      </w:r>
      <w:r w:rsidRPr="008A78B7">
        <w:t xml:space="preserve"> </w:t>
      </w:r>
      <w:r w:rsidR="00DE2BBF">
        <w:t xml:space="preserve">shall </w:t>
      </w:r>
      <w:r>
        <w:t xml:space="preserve">immediately </w:t>
      </w:r>
      <w:r w:rsidRPr="008A78B7">
        <w:t xml:space="preserve">report </w:t>
      </w:r>
      <w:r>
        <w:t>any</w:t>
      </w:r>
      <w:r w:rsidR="00012820">
        <w:t xml:space="preserve"> lost or stolen devices</w:t>
      </w:r>
    </w:p>
    <w:p w14:paraId="0B77A0F2" w14:textId="5A25B947" w:rsidR="0039035F" w:rsidRPr="008A78B7" w:rsidRDefault="00DE2BBF" w:rsidP="00D534E8">
      <w:pPr>
        <w:pStyle w:val="PolicyText2"/>
        <w:numPr>
          <w:ilvl w:val="0"/>
          <w:numId w:val="34"/>
        </w:numPr>
      </w:pPr>
      <w:r>
        <w:t>U</w:t>
      </w:r>
      <w:r w:rsidR="0039035F" w:rsidRPr="008A78B7">
        <w:t xml:space="preserve">nauthorized access to </w:t>
      </w:r>
      <w:r>
        <w:t xml:space="preserve">a </w:t>
      </w:r>
      <w:r w:rsidR="0039035F">
        <w:t>mobile device or company da</w:t>
      </w:r>
      <w:r w:rsidR="00012820">
        <w:t>ta must be immediately reported</w:t>
      </w:r>
    </w:p>
    <w:p w14:paraId="07660EED" w14:textId="1AB61CC3" w:rsidR="0039035F" w:rsidRPr="008A78B7" w:rsidRDefault="0039035F" w:rsidP="00D534E8">
      <w:pPr>
        <w:pStyle w:val="PolicyText2"/>
        <w:numPr>
          <w:ilvl w:val="0"/>
          <w:numId w:val="34"/>
        </w:numPr>
      </w:pPr>
      <w:r>
        <w:t>Mobile d</w:t>
      </w:r>
      <w:r w:rsidRPr="008A78B7">
        <w:t xml:space="preserve">evices </w:t>
      </w:r>
      <w:r w:rsidR="00DE2BBF">
        <w:t>shall not be “rooted”</w:t>
      </w:r>
      <w:r w:rsidRPr="008A78B7">
        <w:t xml:space="preserve"> or have </w:t>
      </w:r>
      <w:r>
        <w:t xml:space="preserve">unauthorized </w:t>
      </w:r>
      <w:r w:rsidR="00012820">
        <w:t>software/firmware installed</w:t>
      </w:r>
    </w:p>
    <w:p w14:paraId="7157579C" w14:textId="059B83B8" w:rsidR="0039035F" w:rsidRPr="008A78B7" w:rsidRDefault="0039035F" w:rsidP="00D534E8">
      <w:pPr>
        <w:pStyle w:val="PolicyText2"/>
        <w:numPr>
          <w:ilvl w:val="0"/>
          <w:numId w:val="34"/>
        </w:numPr>
      </w:pPr>
      <w:r>
        <w:t xml:space="preserve">Staff shall not </w:t>
      </w:r>
      <w:r w:rsidRPr="008A78B7">
        <w:t xml:space="preserve">load </w:t>
      </w:r>
      <w:r>
        <w:t xml:space="preserve">illegal content or </w:t>
      </w:r>
      <w:r w:rsidRPr="008A78B7">
        <w:t xml:space="preserve">pirated software onto </w:t>
      </w:r>
      <w:r>
        <w:t>a</w:t>
      </w:r>
      <w:r w:rsidR="00DE2BBF">
        <w:t>ny</w:t>
      </w:r>
      <w:r>
        <w:t xml:space="preserve"> mobile</w:t>
      </w:r>
      <w:r w:rsidR="00012820">
        <w:t xml:space="preserve"> device</w:t>
      </w:r>
    </w:p>
    <w:p w14:paraId="3EC900BF" w14:textId="3E77F5E8" w:rsidR="0039035F" w:rsidRPr="008A78B7" w:rsidRDefault="0039035F" w:rsidP="00D534E8">
      <w:pPr>
        <w:pStyle w:val="PolicyText2"/>
        <w:numPr>
          <w:ilvl w:val="0"/>
          <w:numId w:val="34"/>
        </w:numPr>
      </w:pPr>
      <w:r>
        <w:t xml:space="preserve">Only approved applications are allowed on mobile devices that connect to </w:t>
      </w:r>
      <w:r w:rsidR="00DE2BBF">
        <w:t xml:space="preserve">the </w:t>
      </w:r>
      <w:r w:rsidR="005227EE">
        <w:t>[LEP]</w:t>
      </w:r>
      <w:r w:rsidR="00DE2BBF">
        <w:t xml:space="preserve"> </w:t>
      </w:r>
      <w:r w:rsidR="00012820">
        <w:t>network</w:t>
      </w:r>
    </w:p>
    <w:p w14:paraId="72866994" w14:textId="77777777" w:rsidR="00012820" w:rsidRDefault="0039035F" w:rsidP="00D534E8">
      <w:pPr>
        <w:pStyle w:val="PolicyText2"/>
        <w:numPr>
          <w:ilvl w:val="0"/>
          <w:numId w:val="34"/>
        </w:numPr>
      </w:pPr>
      <w:r>
        <w:t xml:space="preserve">Mobile devices and applications </w:t>
      </w:r>
      <w:r w:rsidR="00DE2BBF">
        <w:t xml:space="preserve">shall </w:t>
      </w:r>
      <w:r w:rsidR="00012820">
        <w:t>be kept up-to-date</w:t>
      </w:r>
    </w:p>
    <w:p w14:paraId="402E69A4" w14:textId="0726E45D" w:rsidR="0039035F" w:rsidRPr="008A78B7" w:rsidRDefault="00DE2BBF" w:rsidP="00D534E8">
      <w:pPr>
        <w:pStyle w:val="PolicyText2"/>
        <w:numPr>
          <w:ilvl w:val="0"/>
          <w:numId w:val="34"/>
        </w:numPr>
      </w:pPr>
      <w:r>
        <w:t>Operating system and application p</w:t>
      </w:r>
      <w:r w:rsidR="0039035F">
        <w:t>atches should be inst</w:t>
      </w:r>
      <w:r w:rsidR="00012820">
        <w:t>alled within 30 days of release</w:t>
      </w:r>
    </w:p>
    <w:p w14:paraId="4F9792A4" w14:textId="55B0EF95" w:rsidR="00DE2BBF" w:rsidRDefault="0039035F" w:rsidP="00D534E8">
      <w:pPr>
        <w:pStyle w:val="PolicyText2"/>
        <w:numPr>
          <w:ilvl w:val="0"/>
          <w:numId w:val="34"/>
        </w:numPr>
      </w:pPr>
      <w:r>
        <w:t>Mobile d</w:t>
      </w:r>
      <w:r w:rsidRPr="008A78B7">
        <w:t>ev</w:t>
      </w:r>
      <w:r>
        <w:t xml:space="preserve">ices </w:t>
      </w:r>
      <w:r w:rsidR="00DE2BBF">
        <w:t xml:space="preserve">shall </w:t>
      </w:r>
      <w:r>
        <w:t>have active and up-to-date anti-malware</w:t>
      </w:r>
      <w:r w:rsidR="00DE2BBF">
        <w:t>/virus</w:t>
      </w:r>
      <w:r w:rsidR="00012820">
        <w:t xml:space="preserve"> protection software</w:t>
      </w:r>
    </w:p>
    <w:p w14:paraId="04E18429" w14:textId="6B506161" w:rsidR="0039035F" w:rsidRDefault="00DE2BBF" w:rsidP="00D534E8">
      <w:pPr>
        <w:pStyle w:val="PolicyText2"/>
        <w:numPr>
          <w:ilvl w:val="0"/>
          <w:numId w:val="34"/>
        </w:numPr>
      </w:pPr>
      <w:r>
        <w:t xml:space="preserve">All mobile device physical storage </w:t>
      </w:r>
      <w:r w:rsidR="00012820">
        <w:t>partitions shall be encrypted</w:t>
      </w:r>
    </w:p>
    <w:p w14:paraId="5A97BF8E" w14:textId="10E88154" w:rsidR="0039035F" w:rsidRPr="008A78B7" w:rsidRDefault="00DE2BBF" w:rsidP="00D534E8">
      <w:pPr>
        <w:pStyle w:val="PolicyText2"/>
        <w:numPr>
          <w:ilvl w:val="0"/>
          <w:numId w:val="34"/>
        </w:numPr>
      </w:pPr>
      <w:r>
        <w:t>P</w:t>
      </w:r>
      <w:r w:rsidR="0039035F">
        <w:t xml:space="preserve">ersonal firewalls shall be installed and active </w:t>
      </w:r>
      <w:r w:rsidR="00D534E8">
        <w:t xml:space="preserve">where available </w:t>
      </w:r>
    </w:p>
    <w:p w14:paraId="0A9CA04D" w14:textId="45983418" w:rsidR="0039035F" w:rsidRPr="008A78B7" w:rsidRDefault="0039035F" w:rsidP="00D534E8">
      <w:pPr>
        <w:pStyle w:val="PolicyText2"/>
        <w:numPr>
          <w:ilvl w:val="0"/>
          <w:numId w:val="34"/>
        </w:numPr>
      </w:pPr>
      <w:r>
        <w:t xml:space="preserve">Staff shall use </w:t>
      </w:r>
      <w:r w:rsidR="005227EE">
        <w:t xml:space="preserve">[LEP] </w:t>
      </w:r>
      <w:r>
        <w:t xml:space="preserve">corporate email system when sending or receiving </w:t>
      </w:r>
      <w:r w:rsidR="00A30D4F">
        <w:t>[LEP]</w:t>
      </w:r>
      <w:r w:rsidR="00DE2BBF">
        <w:t xml:space="preserve"> </w:t>
      </w:r>
      <w:r w:rsidR="00012820">
        <w:t>data</w:t>
      </w:r>
    </w:p>
    <w:p w14:paraId="35BE6B29" w14:textId="2FCFBEEA" w:rsidR="0039035F" w:rsidRPr="00BD135B" w:rsidRDefault="0039035F" w:rsidP="00D534E8">
      <w:pPr>
        <w:pStyle w:val="PolicyText2"/>
        <w:numPr>
          <w:ilvl w:val="0"/>
          <w:numId w:val="34"/>
        </w:numPr>
      </w:pPr>
      <w:r>
        <w:t>Staff are responsible for ensuring all important files stored on the mobile device a</w:t>
      </w:r>
      <w:r w:rsidR="00012820">
        <w:t>re backed up on a regular basis</w:t>
      </w:r>
    </w:p>
    <w:p w14:paraId="4FDBF33E" w14:textId="52077E53" w:rsidR="00012820" w:rsidRDefault="0039035F" w:rsidP="00D534E8">
      <w:pPr>
        <w:pStyle w:val="PolicyText2"/>
        <w:numPr>
          <w:ilvl w:val="0"/>
          <w:numId w:val="34"/>
        </w:numPr>
      </w:pPr>
      <w:r>
        <w:t xml:space="preserve">Mobile </w:t>
      </w:r>
      <w:r w:rsidR="00DE2BBF">
        <w:t>D</w:t>
      </w:r>
      <w:r>
        <w:t xml:space="preserve">evice </w:t>
      </w:r>
      <w:r w:rsidR="00DE2BBF">
        <w:t>M</w:t>
      </w:r>
      <w:r>
        <w:t xml:space="preserve">anagement </w:t>
      </w:r>
      <w:r w:rsidR="00DE2BBF">
        <w:t xml:space="preserve">(MDM) </w:t>
      </w:r>
      <w:r>
        <w:t>will be used to enforce common security standards and configurations</w:t>
      </w:r>
      <w:r w:rsidR="00DE2BBF">
        <w:t xml:space="preserve"> on devices</w:t>
      </w:r>
    </w:p>
    <w:p w14:paraId="6521DEC8" w14:textId="04862AAB" w:rsidR="0039035F" w:rsidRDefault="00DE2BBF" w:rsidP="00D534E8">
      <w:pPr>
        <w:pStyle w:val="PolicyText2"/>
        <w:numPr>
          <w:ilvl w:val="0"/>
          <w:numId w:val="34"/>
        </w:numPr>
      </w:pPr>
      <w:r>
        <w:t xml:space="preserve">Staff shall not modify configurations without express written authorization from the </w:t>
      </w:r>
      <w:r w:rsidR="00A30D4F">
        <w:t>[Insert Appropriate Role]</w:t>
      </w:r>
    </w:p>
    <w:p w14:paraId="5F6C8528" w14:textId="77777777" w:rsidR="0039035F" w:rsidRDefault="0039035F" w:rsidP="00D534E8">
      <w:pPr>
        <w:pStyle w:val="Heading3"/>
      </w:pPr>
      <w:r>
        <w:t>ADMINISTRATIVE RESPONSIBILITIES</w:t>
      </w:r>
    </w:p>
    <w:p w14:paraId="613D3BF3" w14:textId="3F72B48B" w:rsidR="0039035F" w:rsidRDefault="00A30D4F" w:rsidP="00D534E8">
      <w:pPr>
        <w:pStyle w:val="PolicyText2"/>
      </w:pPr>
      <w:r>
        <w:t>The</w:t>
      </w:r>
      <w:r w:rsidRPr="00FC2D94">
        <w:t xml:space="preserve"> </w:t>
      </w:r>
      <w:r>
        <w:t xml:space="preserve">[Insert Appropriate Role] </w:t>
      </w:r>
      <w:r w:rsidR="0039035F">
        <w:t>or their designee shall ensure:</w:t>
      </w:r>
    </w:p>
    <w:p w14:paraId="0531D31D" w14:textId="0B31F985" w:rsidR="0039035F" w:rsidRDefault="0039035F" w:rsidP="00D534E8">
      <w:pPr>
        <w:pStyle w:val="PolicyText2"/>
        <w:numPr>
          <w:ilvl w:val="0"/>
          <w:numId w:val="35"/>
        </w:numPr>
      </w:pPr>
      <w:r w:rsidRPr="006268AF">
        <w:t>Spe</w:t>
      </w:r>
      <w:r w:rsidR="00012820">
        <w:t>cific configuration settings shall be</w:t>
      </w:r>
      <w:r w:rsidRPr="006268AF">
        <w:t xml:space="preserve"> defined for personal firewall </w:t>
      </w:r>
      <w:r w:rsidR="00DE2BBF">
        <w:t xml:space="preserve">and malware protection </w:t>
      </w:r>
      <w:r w:rsidRPr="006268AF">
        <w:t>software</w:t>
      </w:r>
      <w:r>
        <w:t xml:space="preserve"> to ensure that </w:t>
      </w:r>
      <w:r w:rsidR="00DE2BBF">
        <w:t xml:space="preserve">that this </w:t>
      </w:r>
      <w:r w:rsidRPr="006268AF">
        <w:t>software is not alterable by users of mobile and/or employee-owned devices</w:t>
      </w:r>
      <w:r w:rsidR="00012820">
        <w:t>.</w:t>
      </w:r>
    </w:p>
    <w:p w14:paraId="637CC059" w14:textId="240B2A9B" w:rsidR="0039035F" w:rsidRPr="006268AF" w:rsidRDefault="0039035F" w:rsidP="00D534E8">
      <w:pPr>
        <w:pStyle w:val="PolicyText2"/>
        <w:numPr>
          <w:ilvl w:val="0"/>
          <w:numId w:val="35"/>
        </w:numPr>
      </w:pPr>
      <w:r>
        <w:t xml:space="preserve">Annual security training is provided to users of mobile devices.  The content and form of that training shall be decided by the </w:t>
      </w:r>
      <w:r w:rsidR="005227EE">
        <w:t xml:space="preserve">[LEP] </w:t>
      </w:r>
      <w:r>
        <w:t>or their designee.  Periodic security reminders may be used to reinforce mob</w:t>
      </w:r>
      <w:r w:rsidR="00D534E8">
        <w:t>ile device security procedures.</w:t>
      </w:r>
    </w:p>
    <w:p w14:paraId="43EBF4BE" w14:textId="32844622" w:rsidR="0039035F" w:rsidRDefault="00DE2BBF" w:rsidP="00D534E8">
      <w:pPr>
        <w:pStyle w:val="PolicyText2"/>
        <w:numPr>
          <w:ilvl w:val="0"/>
          <w:numId w:val="35"/>
        </w:numPr>
      </w:pPr>
      <w:r>
        <w:lastRenderedPageBreak/>
        <w:t xml:space="preserve">MDM </w:t>
      </w:r>
      <w:r w:rsidR="0039035F">
        <w:t>software is used to manage risk, limit security issue, and reduce costs and business risks related to mobile devices.  The software shall include the ability to i</w:t>
      </w:r>
      <w:r w:rsidR="0039035F" w:rsidRPr="002B3E93">
        <w:t xml:space="preserve">nventory, monitor (e.g. application installations), issue alerts (e.g. disabled passwords, </w:t>
      </w:r>
      <w:r>
        <w:t>categorize system software (</w:t>
      </w:r>
      <w:r w:rsidR="0039035F" w:rsidRPr="002B3E93">
        <w:t xml:space="preserve">operating systems, rooted devices), </w:t>
      </w:r>
      <w:r w:rsidR="0039035F">
        <w:t xml:space="preserve">and issue </w:t>
      </w:r>
      <w:r>
        <w:t xml:space="preserve">various </w:t>
      </w:r>
      <w:r w:rsidR="0039035F" w:rsidRPr="002B3E93">
        <w:t>report</w:t>
      </w:r>
      <w:r w:rsidR="0039035F">
        <w:t>s</w:t>
      </w:r>
      <w:r w:rsidR="0039035F" w:rsidRPr="002B3E93">
        <w:t xml:space="preserve"> (e.g. installed applications, carriers)</w:t>
      </w:r>
      <w:r w:rsidR="00D534E8">
        <w:t xml:space="preserve">.  </w:t>
      </w:r>
    </w:p>
    <w:p w14:paraId="2DFFD6C1" w14:textId="17835AA6" w:rsidR="0039035F" w:rsidRDefault="00DE2BBF" w:rsidP="00D534E8">
      <w:pPr>
        <w:pStyle w:val="PolicyText2"/>
        <w:numPr>
          <w:ilvl w:val="0"/>
          <w:numId w:val="35"/>
        </w:numPr>
      </w:pPr>
      <w:r>
        <w:t xml:space="preserve">MDM </w:t>
      </w:r>
      <w:r w:rsidR="0039035F" w:rsidRPr="00BB31C9">
        <w:t xml:space="preserve">software enforces security features such as encryption, password, </w:t>
      </w:r>
      <w:r w:rsidR="0039035F">
        <w:t xml:space="preserve">bricking, </w:t>
      </w:r>
      <w:r w:rsidR="0039035F" w:rsidRPr="00BB31C9">
        <w:t>and key lock</w:t>
      </w:r>
      <w:r w:rsidR="0039035F">
        <w:t xml:space="preserve"> on mobile devices.  </w:t>
      </w:r>
    </w:p>
    <w:p w14:paraId="51686821" w14:textId="2539530B" w:rsidR="0039035F" w:rsidRDefault="00DE2BBF" w:rsidP="00D534E8">
      <w:pPr>
        <w:pStyle w:val="PolicyText2"/>
        <w:numPr>
          <w:ilvl w:val="0"/>
          <w:numId w:val="35"/>
        </w:numPr>
      </w:pPr>
      <w:r>
        <w:t xml:space="preserve">MDM </w:t>
      </w:r>
      <w:r w:rsidR="0039035F">
        <w:t xml:space="preserve">software </w:t>
      </w:r>
      <w:r>
        <w:t xml:space="preserve">shall include </w:t>
      </w:r>
      <w:r w:rsidR="0039035F">
        <w:t>the</w:t>
      </w:r>
      <w:r w:rsidR="0039035F" w:rsidRPr="00B43AF1">
        <w:t xml:space="preserve"> </w:t>
      </w:r>
      <w:r w:rsidR="0039035F">
        <w:t xml:space="preserve">ability to distribute </w:t>
      </w:r>
      <w:r w:rsidR="0039035F" w:rsidRPr="00B43AF1">
        <w:t>applications, data</w:t>
      </w:r>
      <w:r w:rsidR="0039035F">
        <w:t>, and global configuration settings against groups and categories of devices.</w:t>
      </w:r>
    </w:p>
    <w:p w14:paraId="2D6F8F09" w14:textId="0F38358E" w:rsidR="0039035F" w:rsidRDefault="0039035F" w:rsidP="00D534E8">
      <w:pPr>
        <w:pStyle w:val="PolicyText2"/>
        <w:numPr>
          <w:ilvl w:val="0"/>
          <w:numId w:val="35"/>
        </w:numPr>
      </w:pPr>
      <w:r>
        <w:t xml:space="preserve">Regular reviews and updates of security standards and strategies used </w:t>
      </w:r>
      <w:r w:rsidR="00D534E8">
        <w:t xml:space="preserve">with mobile computing devices. </w:t>
      </w:r>
    </w:p>
    <w:p w14:paraId="2BCF05F7" w14:textId="423CCF98" w:rsidR="0039035F" w:rsidRPr="00DE2BBF" w:rsidRDefault="0039035F" w:rsidP="00D534E8">
      <w:pPr>
        <w:pStyle w:val="PolicyText2"/>
        <w:numPr>
          <w:ilvl w:val="0"/>
          <w:numId w:val="35"/>
        </w:numPr>
      </w:pPr>
      <w:r w:rsidRPr="00DE2BBF">
        <w:t xml:space="preserve">Procedures and policies exist to manage requests for exemptions and deviations from this </w:t>
      </w:r>
      <w:r w:rsidR="00012820">
        <w:t>p</w:t>
      </w:r>
      <w:r w:rsidRPr="00DE2BBF">
        <w:t>olicy.</w:t>
      </w:r>
    </w:p>
    <w:p w14:paraId="4024A953" w14:textId="266E66BA" w:rsidR="0039035F" w:rsidRPr="0039035F" w:rsidRDefault="00A30D4F" w:rsidP="00D534E8">
      <w:pPr>
        <w:pStyle w:val="PolicyText2"/>
      </w:pPr>
      <w:r>
        <w:t xml:space="preserve">[Insert Appropriate Department] </w:t>
      </w:r>
      <w:r w:rsidR="0039035F">
        <w:t>shall implement p</w:t>
      </w:r>
      <w:r w:rsidR="0039035F" w:rsidRPr="00770934">
        <w:t xml:space="preserve">rocedures and measures to strictly limit access to sensitive data </w:t>
      </w:r>
      <w:r w:rsidR="0039035F">
        <w:t xml:space="preserve">moving to and </w:t>
      </w:r>
      <w:r w:rsidR="0039035F" w:rsidRPr="00770934">
        <w:t xml:space="preserve">from </w:t>
      </w:r>
      <w:r w:rsidR="0039035F">
        <w:t xml:space="preserve">mobile computing </w:t>
      </w:r>
      <w:r w:rsidR="0039035F" w:rsidRPr="00770934">
        <w:t>devices</w:t>
      </w:r>
      <w:r w:rsidR="0039035F">
        <w:t xml:space="preserve"> since these devices </w:t>
      </w:r>
      <w:r w:rsidR="0039035F" w:rsidRPr="00770934">
        <w:t xml:space="preserve">generally </w:t>
      </w:r>
      <w:r w:rsidR="0039035F">
        <w:t xml:space="preserve">pose a </w:t>
      </w:r>
      <w:r w:rsidR="0039035F" w:rsidRPr="00770934">
        <w:t xml:space="preserve">higher-risk </w:t>
      </w:r>
      <w:r w:rsidR="0039035F">
        <w:t xml:space="preserve">for incidents </w:t>
      </w:r>
      <w:r w:rsidR="0039035F" w:rsidRPr="00770934">
        <w:t>than non-portable devices.</w:t>
      </w:r>
    </w:p>
    <w:p w14:paraId="5980B1C3" w14:textId="21ED28B4" w:rsidR="003E192C" w:rsidRPr="003E192C" w:rsidRDefault="003E192C" w:rsidP="00D534E8">
      <w:pPr>
        <w:pStyle w:val="Heading2"/>
      </w:pPr>
      <w:r w:rsidRPr="003E192C">
        <w:t>Audit Controls and Management</w:t>
      </w:r>
    </w:p>
    <w:p w14:paraId="39307329" w14:textId="77777777" w:rsidR="00B6345D" w:rsidRDefault="00B6345D" w:rsidP="00D534E8">
      <w:pPr>
        <w:pStyle w:val="PolicyText2"/>
      </w:pPr>
      <w:r w:rsidRPr="003E192C">
        <w:t xml:space="preserve">On-demand documented procedures and evidence of practice should be in place for this operational policy as part of </w:t>
      </w:r>
      <w:r w:rsidR="005227EE">
        <w:t>[LEP]</w:t>
      </w:r>
      <w:r w:rsidRPr="003E192C">
        <w:t>.</w:t>
      </w:r>
      <w:r>
        <w:t xml:space="preserve">  Satisfactory examples of evidence and compliance include:</w:t>
      </w:r>
    </w:p>
    <w:p w14:paraId="3BC8AE10" w14:textId="31F4CA51" w:rsidR="00B6345D" w:rsidRPr="00866CBF" w:rsidRDefault="00B6345D" w:rsidP="00D534E8">
      <w:pPr>
        <w:pStyle w:val="PolicyText2"/>
        <w:numPr>
          <w:ilvl w:val="0"/>
          <w:numId w:val="36"/>
        </w:numPr>
      </w:pPr>
      <w:r w:rsidRPr="00866CBF">
        <w:t xml:space="preserve">Spot user checks for compliance with </w:t>
      </w:r>
      <w:r w:rsidR="00A7496A">
        <w:t xml:space="preserve">mobile device computing </w:t>
      </w:r>
      <w:r w:rsidRPr="00866CBF">
        <w:t>policies</w:t>
      </w:r>
    </w:p>
    <w:p w14:paraId="1F6C29B2" w14:textId="170265F0" w:rsidR="00A7496A" w:rsidRPr="00A7496A" w:rsidRDefault="00A7496A" w:rsidP="00D534E8">
      <w:pPr>
        <w:pStyle w:val="PolicyText2"/>
        <w:numPr>
          <w:ilvl w:val="0"/>
          <w:numId w:val="36"/>
        </w:numPr>
      </w:pPr>
      <w:r>
        <w:t>Readily available processes and procedures for staff use of mobile devices</w:t>
      </w:r>
    </w:p>
    <w:p w14:paraId="6DC2E865" w14:textId="520D59DD" w:rsidR="00A7496A" w:rsidRPr="00A7496A" w:rsidRDefault="00A7496A" w:rsidP="00D534E8">
      <w:pPr>
        <w:pStyle w:val="PolicyText2"/>
        <w:numPr>
          <w:ilvl w:val="0"/>
          <w:numId w:val="36"/>
        </w:numPr>
      </w:pPr>
      <w:r>
        <w:t>Configuration and support guidelines and procedures for mobile devices</w:t>
      </w:r>
    </w:p>
    <w:p w14:paraId="4A09244A" w14:textId="7E3A19F9" w:rsidR="00FB485F" w:rsidRPr="00FB485F" w:rsidRDefault="00FB485F" w:rsidP="00D534E8">
      <w:pPr>
        <w:pStyle w:val="PolicyText2"/>
        <w:numPr>
          <w:ilvl w:val="0"/>
          <w:numId w:val="36"/>
        </w:numPr>
      </w:pPr>
      <w:r>
        <w:t>Communication and device logs of attached units showing appropriate management and mo</w:t>
      </w:r>
      <w:r w:rsidR="00012820">
        <w:t>nitoring protocols are in place</w:t>
      </w:r>
    </w:p>
    <w:p w14:paraId="5BC2083E" w14:textId="184959A2" w:rsidR="00B6345D" w:rsidRPr="00866CBF" w:rsidRDefault="00FB485F" w:rsidP="00D534E8">
      <w:pPr>
        <w:pStyle w:val="PolicyText2"/>
        <w:numPr>
          <w:ilvl w:val="0"/>
          <w:numId w:val="36"/>
        </w:numPr>
      </w:pPr>
      <w:r>
        <w:t>Anecdotal and archival communications showing regul</w:t>
      </w:r>
      <w:r w:rsidR="00012820">
        <w:t>ar implementation of the policy</w:t>
      </w:r>
    </w:p>
    <w:p w14:paraId="3DC318CD" w14:textId="1EFAEE28" w:rsidR="003E192C" w:rsidRPr="003E192C" w:rsidRDefault="003E192C" w:rsidP="00D534E8">
      <w:pPr>
        <w:pStyle w:val="Heading2"/>
      </w:pPr>
      <w:r w:rsidRPr="003E192C">
        <w:t xml:space="preserve">Enforcement  </w:t>
      </w:r>
    </w:p>
    <w:p w14:paraId="009B47FE" w14:textId="77777777" w:rsidR="003E192C" w:rsidRPr="003E192C" w:rsidRDefault="003E192C" w:rsidP="00D534E8">
      <w:pPr>
        <w:pStyle w:val="PolicyText1"/>
      </w:pPr>
      <w:r w:rsidRPr="003E192C">
        <w:t>Staff members found in policy violation may be subject to disciplinary action, up to and including termination.</w:t>
      </w:r>
    </w:p>
    <w:p w14:paraId="602594BE" w14:textId="69B07D00" w:rsidR="003E192C" w:rsidRPr="003E192C" w:rsidRDefault="003E192C" w:rsidP="00D534E8">
      <w:pPr>
        <w:pStyle w:val="Heading2"/>
      </w:pPr>
      <w:r w:rsidRPr="003E192C">
        <w:t>Distribution</w:t>
      </w:r>
    </w:p>
    <w:p w14:paraId="1CC82314" w14:textId="77777777" w:rsidR="003E192C" w:rsidRPr="003E192C" w:rsidRDefault="003E192C" w:rsidP="00D534E8">
      <w:pPr>
        <w:pStyle w:val="PolicyText1"/>
      </w:pPr>
      <w:r w:rsidRPr="003E192C">
        <w:t xml:space="preserve">This policy is to be distributed to all </w:t>
      </w:r>
      <w:r w:rsidR="005227EE">
        <w:t>[LEP] staff and contractors using [LEP] information r</w:t>
      </w:r>
      <w:r w:rsidRPr="003E192C">
        <w:t>esources.</w:t>
      </w:r>
    </w:p>
    <w:p w14:paraId="44F68457" w14:textId="77777777" w:rsidR="003E192C" w:rsidRPr="003E192C" w:rsidRDefault="003E192C" w:rsidP="00D534E8">
      <w:pPr>
        <w:pStyle w:val="Heading2"/>
      </w:pPr>
      <w:r w:rsidRPr="003E192C">
        <w:t>Policy 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3E192C" w:rsidRPr="003E192C" w14:paraId="2E190990" w14:textId="77777777" w:rsidTr="007531D3">
        <w:tc>
          <w:tcPr>
            <w:tcW w:w="1137" w:type="dxa"/>
            <w:shd w:val="clear" w:color="auto" w:fill="C0C0C0"/>
          </w:tcPr>
          <w:p w14:paraId="403FE1C9" w14:textId="77777777" w:rsidR="003E192C" w:rsidRPr="003E192C" w:rsidRDefault="003E192C" w:rsidP="003E192C">
            <w:pPr>
              <w:rPr>
                <w:rFonts w:ascii="Arial" w:hAnsi="Arial" w:cs="Arial"/>
              </w:rPr>
            </w:pPr>
            <w:r w:rsidRPr="003E192C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6DC5B03D" w14:textId="77777777" w:rsidR="003E192C" w:rsidRPr="003E192C" w:rsidRDefault="003E192C" w:rsidP="003E192C">
            <w:pPr>
              <w:rPr>
                <w:rFonts w:ascii="Arial" w:hAnsi="Arial" w:cs="Arial"/>
              </w:rPr>
            </w:pPr>
            <w:r w:rsidRPr="003E192C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5406F44B" w14:textId="77777777" w:rsidR="003E192C" w:rsidRPr="003E192C" w:rsidRDefault="003E192C" w:rsidP="003E192C">
            <w:pPr>
              <w:rPr>
                <w:rFonts w:ascii="Arial" w:hAnsi="Arial" w:cs="Arial"/>
              </w:rPr>
            </w:pPr>
            <w:r w:rsidRPr="003E192C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29D6BCE3" w14:textId="77777777" w:rsidR="003E192C" w:rsidRPr="003E192C" w:rsidRDefault="003E192C" w:rsidP="003E192C">
            <w:pPr>
              <w:jc w:val="center"/>
              <w:rPr>
                <w:rFonts w:ascii="Arial" w:hAnsi="Arial" w:cs="Arial"/>
              </w:rPr>
            </w:pPr>
            <w:r w:rsidRPr="003E192C">
              <w:rPr>
                <w:rFonts w:ascii="Arial" w:hAnsi="Arial" w:cs="Arial"/>
              </w:rPr>
              <w:t>Approved By</w:t>
            </w:r>
          </w:p>
        </w:tc>
      </w:tr>
      <w:tr w:rsidR="003E192C" w:rsidRPr="003E192C" w14:paraId="7E3010F8" w14:textId="77777777" w:rsidTr="007531D3">
        <w:tc>
          <w:tcPr>
            <w:tcW w:w="1137" w:type="dxa"/>
            <w:shd w:val="clear" w:color="auto" w:fill="auto"/>
          </w:tcPr>
          <w:p w14:paraId="11909C87" w14:textId="77777777" w:rsidR="003E192C" w:rsidRPr="003E192C" w:rsidRDefault="003E192C" w:rsidP="003E192C">
            <w:pPr>
              <w:rPr>
                <w:rFonts w:ascii="Arial" w:hAnsi="Arial" w:cs="Arial"/>
              </w:rPr>
            </w:pPr>
            <w:r w:rsidRPr="003E192C">
              <w:rPr>
                <w:rFonts w:ascii="Arial" w:hAnsi="Arial" w:cs="Arial"/>
              </w:rPr>
              <w:lastRenderedPageBreak/>
              <w:t>1.0</w:t>
            </w:r>
          </w:p>
        </w:tc>
        <w:tc>
          <w:tcPr>
            <w:tcW w:w="1401" w:type="dxa"/>
            <w:shd w:val="clear" w:color="auto" w:fill="auto"/>
          </w:tcPr>
          <w:p w14:paraId="73D197E5" w14:textId="77777777" w:rsidR="003E192C" w:rsidRPr="003E192C" w:rsidRDefault="00225251" w:rsidP="003E19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9/15</w:t>
            </w:r>
            <w:r w:rsidR="003E192C" w:rsidRPr="003E192C">
              <w:rPr>
                <w:rFonts w:ascii="Arial" w:hAnsi="Arial" w:cs="Arial"/>
              </w:rPr>
              <w:t>/2016</w:t>
            </w:r>
          </w:p>
        </w:tc>
        <w:tc>
          <w:tcPr>
            <w:tcW w:w="4104" w:type="dxa"/>
            <w:shd w:val="clear" w:color="auto" w:fill="auto"/>
          </w:tcPr>
          <w:p w14:paraId="4ABD1684" w14:textId="77777777" w:rsidR="003E192C" w:rsidRPr="003E192C" w:rsidRDefault="003E192C" w:rsidP="003E192C">
            <w:pPr>
              <w:rPr>
                <w:rFonts w:ascii="Arial" w:hAnsi="Arial" w:cs="Arial"/>
              </w:rPr>
            </w:pPr>
            <w:r w:rsidRPr="003E192C">
              <w:rPr>
                <w:rFonts w:ascii="Arial" w:hAnsi="Arial" w:cs="Arial"/>
              </w:rPr>
              <w:t>Initial Policy Drafted</w:t>
            </w:r>
          </w:p>
        </w:tc>
        <w:tc>
          <w:tcPr>
            <w:tcW w:w="2214" w:type="dxa"/>
            <w:shd w:val="clear" w:color="auto" w:fill="auto"/>
          </w:tcPr>
          <w:p w14:paraId="53159633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</w:tr>
      <w:tr w:rsidR="003E192C" w:rsidRPr="003E192C" w14:paraId="1C27CF81" w14:textId="77777777" w:rsidTr="007531D3">
        <w:tc>
          <w:tcPr>
            <w:tcW w:w="1137" w:type="dxa"/>
            <w:shd w:val="clear" w:color="auto" w:fill="auto"/>
          </w:tcPr>
          <w:p w14:paraId="1507F042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C98D8AF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EBDA111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0BD8EDCF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</w:tr>
      <w:tr w:rsidR="003E192C" w:rsidRPr="003E192C" w14:paraId="693489E0" w14:textId="77777777" w:rsidTr="007531D3">
        <w:tc>
          <w:tcPr>
            <w:tcW w:w="1137" w:type="dxa"/>
            <w:shd w:val="clear" w:color="auto" w:fill="auto"/>
          </w:tcPr>
          <w:p w14:paraId="3E504F45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9FDE7E1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CB5661A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61AB23D" w14:textId="77777777" w:rsidR="003E192C" w:rsidRPr="003E192C" w:rsidRDefault="003E192C" w:rsidP="003E192C">
            <w:pPr>
              <w:rPr>
                <w:rFonts w:ascii="Arial" w:hAnsi="Arial" w:cs="Arial"/>
              </w:rPr>
            </w:pPr>
          </w:p>
        </w:tc>
      </w:tr>
    </w:tbl>
    <w:p w14:paraId="3B0B5B0C" w14:textId="77777777" w:rsidR="00A755FE" w:rsidRDefault="00A755FE" w:rsidP="00D534E8"/>
    <w:sectPr w:rsidR="00A755FE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cey, Jill" w:date="2017-02-15T12:33:00Z" w:initials="SJ">
    <w:p w14:paraId="6B1095A5" w14:textId="77777777" w:rsidR="005227EE" w:rsidRDefault="005227EE">
      <w:pPr>
        <w:pStyle w:val="CommentText"/>
      </w:pPr>
      <w:r>
        <w:rPr>
          <w:rStyle w:val="CommentReference"/>
        </w:rPr>
        <w:annotationRef/>
      </w:r>
      <w:r>
        <w:t>Guidance Note:  This refers to another sample policy.  If you are not adopting this policy, you will need to update this document accordingly.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1095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1095A5" w16cid:durableId="235B94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8A60" w14:textId="77777777" w:rsidR="0089127C" w:rsidRDefault="0089127C" w:rsidP="00333141">
      <w:pPr>
        <w:spacing w:after="0" w:line="240" w:lineRule="auto"/>
      </w:pPr>
      <w:r>
        <w:separator/>
      </w:r>
    </w:p>
  </w:endnote>
  <w:endnote w:type="continuationSeparator" w:id="0">
    <w:p w14:paraId="0CC8146F" w14:textId="77777777" w:rsidR="0089127C" w:rsidRDefault="0089127C" w:rsidP="003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500">
    <w:altName w:val="Arial"/>
    <w:panose1 w:val="020B0604020202020204"/>
    <w:charset w:val="00"/>
    <w:family w:val="modern"/>
    <w:notTrueType/>
    <w:pitch w:val="variable"/>
    <w:sig w:usb0="00000001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4F3A1" w14:textId="77777777" w:rsidR="0089127C" w:rsidRDefault="0089127C" w:rsidP="00333141">
      <w:pPr>
        <w:spacing w:after="0" w:line="240" w:lineRule="auto"/>
      </w:pPr>
      <w:r>
        <w:separator/>
      </w:r>
    </w:p>
  </w:footnote>
  <w:footnote w:type="continuationSeparator" w:id="0">
    <w:p w14:paraId="36A25F84" w14:textId="77777777" w:rsidR="0089127C" w:rsidRDefault="0089127C" w:rsidP="003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E26E" w14:textId="6C3F9815" w:rsidR="004B4F0C" w:rsidRDefault="0089127C">
    <w:pPr>
      <w:pStyle w:val="Header"/>
    </w:pPr>
    <w:r>
      <w:rPr>
        <w:noProof/>
      </w:rPr>
      <w:pict w14:anchorId="07874A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7862" o:spid="_x0000_s2051" type="#_x0000_t136" alt="" style="position:absolute;margin-left:0;margin-top:0;width:461.9pt;height:197.95pt;rotation:315;z-index:-2516418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D44A" w14:textId="3FD5084A" w:rsidR="00333141" w:rsidRDefault="0089127C">
    <w:pPr>
      <w:pStyle w:val="Header"/>
    </w:pPr>
    <w:r>
      <w:rPr>
        <w:noProof/>
      </w:rPr>
      <w:pict w14:anchorId="7533AF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7863" o:spid="_x0000_s2050" type="#_x0000_t136" alt="" style="position:absolute;margin-left:0;margin-top:0;width:461.9pt;height:197.95pt;rotation:315;z-index:-25163980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891C7" w14:textId="286A5A99" w:rsidR="004B4F0C" w:rsidRDefault="0089127C">
    <w:pPr>
      <w:pStyle w:val="Header"/>
    </w:pPr>
    <w:r>
      <w:rPr>
        <w:noProof/>
      </w:rPr>
      <w:pict w14:anchorId="299085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7861" o:spid="_x0000_s2049" type="#_x0000_t136" alt="" style="position:absolute;margin-left:0;margin-top:0;width:461.9pt;height:197.95pt;rotation:315;z-index:-2516439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744"/>
    <w:multiLevelType w:val="hybridMultilevel"/>
    <w:tmpl w:val="22BCC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05C65"/>
    <w:multiLevelType w:val="hybridMultilevel"/>
    <w:tmpl w:val="A628D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63470"/>
    <w:multiLevelType w:val="hybridMultilevel"/>
    <w:tmpl w:val="F2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F28FE"/>
    <w:multiLevelType w:val="hybridMultilevel"/>
    <w:tmpl w:val="AD425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C1355"/>
    <w:multiLevelType w:val="hybridMultilevel"/>
    <w:tmpl w:val="B4B6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57281"/>
    <w:multiLevelType w:val="hybridMultilevel"/>
    <w:tmpl w:val="F6A82DA2"/>
    <w:lvl w:ilvl="0" w:tplc="2118D93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343D"/>
    <w:multiLevelType w:val="hybridMultilevel"/>
    <w:tmpl w:val="D9FE972A"/>
    <w:lvl w:ilvl="0" w:tplc="2CA40FD2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7411"/>
    <w:multiLevelType w:val="multilevel"/>
    <w:tmpl w:val="E40C24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F7B6D1A"/>
    <w:multiLevelType w:val="hybridMultilevel"/>
    <w:tmpl w:val="B53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5C28"/>
    <w:multiLevelType w:val="hybridMultilevel"/>
    <w:tmpl w:val="833E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C2C71"/>
    <w:multiLevelType w:val="hybridMultilevel"/>
    <w:tmpl w:val="4D90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0524A"/>
    <w:multiLevelType w:val="hybridMultilevel"/>
    <w:tmpl w:val="6EC4A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6C1491"/>
    <w:multiLevelType w:val="hybridMultilevel"/>
    <w:tmpl w:val="676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97763"/>
    <w:multiLevelType w:val="multilevel"/>
    <w:tmpl w:val="E88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100110C"/>
    <w:multiLevelType w:val="hybridMultilevel"/>
    <w:tmpl w:val="61B853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7B6E"/>
    <w:multiLevelType w:val="hybridMultilevel"/>
    <w:tmpl w:val="128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503ED"/>
    <w:multiLevelType w:val="hybridMultilevel"/>
    <w:tmpl w:val="8094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123BF"/>
    <w:multiLevelType w:val="hybridMultilevel"/>
    <w:tmpl w:val="340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0627"/>
    <w:multiLevelType w:val="hybridMultilevel"/>
    <w:tmpl w:val="8834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49360E"/>
    <w:multiLevelType w:val="hybridMultilevel"/>
    <w:tmpl w:val="E0B4F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576129"/>
    <w:multiLevelType w:val="hybridMultilevel"/>
    <w:tmpl w:val="40707ECC"/>
    <w:lvl w:ilvl="0" w:tplc="CB426200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A19AD"/>
    <w:multiLevelType w:val="hybridMultilevel"/>
    <w:tmpl w:val="6E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E612A"/>
    <w:multiLevelType w:val="hybridMultilevel"/>
    <w:tmpl w:val="8392F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5D49A2"/>
    <w:multiLevelType w:val="hybridMultilevel"/>
    <w:tmpl w:val="1D523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A76C0"/>
    <w:multiLevelType w:val="hybridMultilevel"/>
    <w:tmpl w:val="CC68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6D0E5B"/>
    <w:multiLevelType w:val="hybridMultilevel"/>
    <w:tmpl w:val="E6B8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D231B9"/>
    <w:multiLevelType w:val="hybridMultilevel"/>
    <w:tmpl w:val="711481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62675"/>
    <w:multiLevelType w:val="hybridMultilevel"/>
    <w:tmpl w:val="93047C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0F13C9"/>
    <w:multiLevelType w:val="hybridMultilevel"/>
    <w:tmpl w:val="985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B16F0"/>
    <w:multiLevelType w:val="hybridMultilevel"/>
    <w:tmpl w:val="6ECC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D3DDA"/>
    <w:multiLevelType w:val="hybridMultilevel"/>
    <w:tmpl w:val="300E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CC69D9"/>
    <w:multiLevelType w:val="hybridMultilevel"/>
    <w:tmpl w:val="DFC64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596D24"/>
    <w:multiLevelType w:val="hybridMultilevel"/>
    <w:tmpl w:val="A7B4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F317E"/>
    <w:multiLevelType w:val="hybridMultilevel"/>
    <w:tmpl w:val="DF9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E770A"/>
    <w:multiLevelType w:val="hybridMultilevel"/>
    <w:tmpl w:val="1D7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9497C"/>
    <w:multiLevelType w:val="hybridMultilevel"/>
    <w:tmpl w:val="9B60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B102B0"/>
    <w:multiLevelType w:val="hybridMultilevel"/>
    <w:tmpl w:val="84B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14"/>
  </w:num>
  <w:num w:numId="4">
    <w:abstractNumId w:val="27"/>
  </w:num>
  <w:num w:numId="5">
    <w:abstractNumId w:val="34"/>
  </w:num>
  <w:num w:numId="6">
    <w:abstractNumId w:val="15"/>
  </w:num>
  <w:num w:numId="7">
    <w:abstractNumId w:val="12"/>
  </w:num>
  <w:num w:numId="8">
    <w:abstractNumId w:val="10"/>
  </w:num>
  <w:num w:numId="9">
    <w:abstractNumId w:val="17"/>
  </w:num>
  <w:num w:numId="10">
    <w:abstractNumId w:val="36"/>
  </w:num>
  <w:num w:numId="11">
    <w:abstractNumId w:val="28"/>
  </w:num>
  <w:num w:numId="12">
    <w:abstractNumId w:val="8"/>
  </w:num>
  <w:num w:numId="13">
    <w:abstractNumId w:val="16"/>
  </w:num>
  <w:num w:numId="14">
    <w:abstractNumId w:val="21"/>
  </w:num>
  <w:num w:numId="15">
    <w:abstractNumId w:val="32"/>
  </w:num>
  <w:num w:numId="16">
    <w:abstractNumId w:val="11"/>
  </w:num>
  <w:num w:numId="17">
    <w:abstractNumId w:val="3"/>
  </w:num>
  <w:num w:numId="18">
    <w:abstractNumId w:val="5"/>
  </w:num>
  <w:num w:numId="19">
    <w:abstractNumId w:val="20"/>
  </w:num>
  <w:num w:numId="20">
    <w:abstractNumId w:val="24"/>
  </w:num>
  <w:num w:numId="21">
    <w:abstractNumId w:val="23"/>
  </w:num>
  <w:num w:numId="22">
    <w:abstractNumId w:val="25"/>
  </w:num>
  <w:num w:numId="23">
    <w:abstractNumId w:val="4"/>
  </w:num>
  <w:num w:numId="24">
    <w:abstractNumId w:val="18"/>
  </w:num>
  <w:num w:numId="25">
    <w:abstractNumId w:val="9"/>
  </w:num>
  <w:num w:numId="26">
    <w:abstractNumId w:val="30"/>
  </w:num>
  <w:num w:numId="27">
    <w:abstractNumId w:val="31"/>
  </w:num>
  <w:num w:numId="28">
    <w:abstractNumId w:val="35"/>
  </w:num>
  <w:num w:numId="29">
    <w:abstractNumId w:val="29"/>
  </w:num>
  <w:num w:numId="30">
    <w:abstractNumId w:val="2"/>
  </w:num>
  <w:num w:numId="31">
    <w:abstractNumId w:val="6"/>
  </w:num>
  <w:num w:numId="32">
    <w:abstractNumId w:val="13"/>
  </w:num>
  <w:num w:numId="33">
    <w:abstractNumId w:val="19"/>
  </w:num>
  <w:num w:numId="34">
    <w:abstractNumId w:val="1"/>
  </w:num>
  <w:num w:numId="35">
    <w:abstractNumId w:val="0"/>
  </w:num>
  <w:num w:numId="36">
    <w:abstractNumId w:val="22"/>
  </w:num>
  <w:num w:numId="3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cey, Jill">
    <w15:presenceInfo w15:providerId="AD" w15:userId="S-1-5-21-170422339-1359699126-1544898942-359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41"/>
    <w:rsid w:val="00012820"/>
    <w:rsid w:val="000441D5"/>
    <w:rsid w:val="00140385"/>
    <w:rsid w:val="002173E7"/>
    <w:rsid w:val="00225251"/>
    <w:rsid w:val="00333141"/>
    <w:rsid w:val="00347EBF"/>
    <w:rsid w:val="0039035F"/>
    <w:rsid w:val="003E192C"/>
    <w:rsid w:val="00410ACD"/>
    <w:rsid w:val="0043783E"/>
    <w:rsid w:val="00484A4E"/>
    <w:rsid w:val="004B4F0C"/>
    <w:rsid w:val="005227EE"/>
    <w:rsid w:val="006727F0"/>
    <w:rsid w:val="007D7067"/>
    <w:rsid w:val="00890197"/>
    <w:rsid w:val="0089127C"/>
    <w:rsid w:val="00A30D4F"/>
    <w:rsid w:val="00A7496A"/>
    <w:rsid w:val="00A755FE"/>
    <w:rsid w:val="00A914A5"/>
    <w:rsid w:val="00AD3622"/>
    <w:rsid w:val="00AF3C6F"/>
    <w:rsid w:val="00B50C2A"/>
    <w:rsid w:val="00B6345D"/>
    <w:rsid w:val="00D534E8"/>
    <w:rsid w:val="00DD0F14"/>
    <w:rsid w:val="00DE2BBF"/>
    <w:rsid w:val="00E02EBB"/>
    <w:rsid w:val="00E55E1C"/>
    <w:rsid w:val="00F34444"/>
    <w:rsid w:val="00F72E40"/>
    <w:rsid w:val="00FB485F"/>
    <w:rsid w:val="00FC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9C8C7A"/>
  <w15:docId w15:val="{6EB5D9CF-693F-4A16-835C-FB265E9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2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2820"/>
    <w:pPr>
      <w:keepNext/>
      <w:keepLines/>
      <w:spacing w:after="240" w:line="24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PolicyHeading 2"/>
    <w:basedOn w:val="Normal"/>
    <w:next w:val="PolicyText1"/>
    <w:link w:val="Heading2Char"/>
    <w:autoRedefine/>
    <w:uiPriority w:val="9"/>
    <w:unhideWhenUsed/>
    <w:qFormat/>
    <w:rsid w:val="00012820"/>
    <w:pPr>
      <w:keepNext/>
      <w:keepLines/>
      <w:numPr>
        <w:numId w:val="37"/>
      </w:numPr>
      <w:spacing w:after="240" w:line="240" w:lineRule="auto"/>
      <w:ind w:left="360" w:hanging="36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aliases w:val="PolicyHeading 3"/>
    <w:basedOn w:val="Normal"/>
    <w:next w:val="PolicyText2"/>
    <w:link w:val="Heading3Char"/>
    <w:autoRedefine/>
    <w:uiPriority w:val="9"/>
    <w:unhideWhenUsed/>
    <w:qFormat/>
    <w:rsid w:val="00012820"/>
    <w:pPr>
      <w:keepNext/>
      <w:keepLines/>
      <w:numPr>
        <w:numId w:val="19"/>
      </w:numPr>
      <w:spacing w:after="240" w:line="240" w:lineRule="auto"/>
      <w:ind w:right="720"/>
      <w:outlineLvl w:val="2"/>
    </w:pPr>
    <w:rPr>
      <w:rFonts w:ascii="Arial" w:eastAsiaTheme="majorEastAsia" w:hAnsi="Arial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20"/>
  </w:style>
  <w:style w:type="paragraph" w:styleId="Footer">
    <w:name w:val="footer"/>
    <w:basedOn w:val="Normal"/>
    <w:link w:val="FooterChar"/>
    <w:uiPriority w:val="99"/>
    <w:unhideWhenUsed/>
    <w:rsid w:val="000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20"/>
  </w:style>
  <w:style w:type="paragraph" w:styleId="BalloonText">
    <w:name w:val="Balloon Text"/>
    <w:basedOn w:val="Normal"/>
    <w:link w:val="BalloonTextChar"/>
    <w:uiPriority w:val="99"/>
    <w:semiHidden/>
    <w:unhideWhenUsed/>
    <w:rsid w:val="0001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28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2820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012820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PolicyHeading 3 Char"/>
    <w:basedOn w:val="DefaultParagraphFont"/>
    <w:link w:val="Heading3"/>
    <w:uiPriority w:val="9"/>
    <w:rsid w:val="00012820"/>
    <w:rPr>
      <w:rFonts w:ascii="Arial" w:eastAsiaTheme="majorEastAsia" w:hAnsi="Arial" w:cstheme="majorBidi"/>
      <w:b/>
      <w:bCs/>
      <w:sz w:val="20"/>
    </w:rPr>
  </w:style>
  <w:style w:type="table" w:styleId="TableGrid">
    <w:name w:val="Table Grid"/>
    <w:basedOn w:val="TableNormal"/>
    <w:uiPriority w:val="39"/>
    <w:rsid w:val="00012820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2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7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7EE"/>
    <w:rPr>
      <w:b/>
      <w:bCs/>
      <w:sz w:val="20"/>
      <w:szCs w:val="20"/>
    </w:rPr>
  </w:style>
  <w:style w:type="paragraph" w:customStyle="1" w:styleId="PolicyText1">
    <w:name w:val="PolicyText1"/>
    <w:basedOn w:val="Normal"/>
    <w:qFormat/>
    <w:rsid w:val="00012820"/>
    <w:pPr>
      <w:spacing w:after="240" w:line="240" w:lineRule="auto"/>
    </w:pPr>
    <w:rPr>
      <w:rFonts w:ascii="Arial" w:hAnsi="Arial" w:cs="Arial"/>
      <w:sz w:val="20"/>
      <w:szCs w:val="20"/>
    </w:rPr>
  </w:style>
  <w:style w:type="paragraph" w:customStyle="1" w:styleId="PolicyText2">
    <w:name w:val="PolicyText2"/>
    <w:basedOn w:val="Normal"/>
    <w:autoRedefine/>
    <w:qFormat/>
    <w:rsid w:val="00012820"/>
    <w:pPr>
      <w:spacing w:after="240" w:line="240" w:lineRule="auto"/>
      <w:ind w:left="360" w:right="72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_J\Documents\Custom%20Office%20Templates\IT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C:\Users\Stacey_J\Documents\Custom Office Templates\IT Policy Template.dotx</Template>
  <TotalTime>3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CDE IT Security Policies</vt:lpstr>
    </vt:vector>
  </TitlesOfParts>
  <Company>Hewlett-Packard Company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Device Policy</dc:title>
  <dc:creator>Pat Bush</dc:creator>
  <cp:lastModifiedBy>Microsoft Office User</cp:lastModifiedBy>
  <cp:revision>3</cp:revision>
  <cp:lastPrinted>2020-11-15T04:56:00Z</cp:lastPrinted>
  <dcterms:created xsi:type="dcterms:W3CDTF">2020-11-15T04:56:00Z</dcterms:created>
  <dcterms:modified xsi:type="dcterms:W3CDTF">2020-11-15T04:58:00Z</dcterms:modified>
</cp:coreProperties>
</file>