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Termeow Agent Product Brief</w:t>
      </w:r>
    </w:p>
    <w:p>
      <w:pPr>
        <w:spacing w:after="140"/>
      </w:pPr>
      <w:r>
        <w:rPr>
          <w:rFonts w:ascii="Aptos" w:hAnsi="Aptos"/>
          <w:color w:val="365A49"/>
          <w:sz w:val="18"/>
        </w:rPr>
        <w:t>A voice-first onchain intelligence and execution app</w:t>
      </w:r>
    </w:p>
    <w:p>
      <w:r>
        <w:rPr>
          <w:rFonts w:ascii="Aptos" w:hAnsi="Aptos"/>
          <w:b/>
          <w:color w:val="101714"/>
          <w:sz w:val="18"/>
        </w:rPr>
        <w:t xml:space="preserve">End goal. </w:t>
      </w:r>
      <w:r>
        <w:rPr>
          <w:rFonts w:ascii="Aptos" w:hAnsi="Aptos"/>
          <w:color w:val="101714"/>
          <w:sz w:val="18"/>
        </w:rPr>
        <w:t>Termeow becomes the fastest natural-language interface between a trader's intent and onchain action. It combines live wallet, market, social, liquidity, and technical context with policy-controlled automation, then lets the user operate it through an informal voice conversation.</w:t>
      </w:r>
    </w:p>
    <w:p>
      <w:pPr>
        <w:spacing w:after="80"/>
      </w:pPr>
      <w:r>
        <w:rPr>
          <w:rFonts w:ascii="Aptos" w:hAnsi="Aptos"/>
          <w:b/>
          <w:color w:val="173C2A"/>
          <w:sz w:val="17"/>
        </w:rPr>
        <w:t>Termeow listens like a trading partner, watches like an indexer, and acts only inside the rules the user approves.</w:t>
      </w:r>
    </w:p>
    <w:p>
      <w:pPr>
        <w:pStyle w:val="Heading1"/>
      </w:pPr>
      <w:r>
        <w:t>The product</w:t>
      </w:r>
    </w:p>
    <w:p>
      <w:r>
        <w:t>Termeow Agent is a standalone mobile and desktop app, not a trading terminal. The primary surface is a responsive audio-reactive pixel wave and a short conversational timeline. A trader can ask what matters, describe a rule, refine it by voice or touch, and approve bounded execution without navigating charts, forms, or bot commands.</w:t>
      </w:r>
    </w:p>
    <w:tbl>
      <w:tblPr>
        <w:tblW w:type="auto" w:w="0"/>
        <w:jc w:val="center"/>
        <w:tblLayout w:type="fixed"/>
        <w:tblLook w:firstColumn="1" w:firstRow="1" w:lastColumn="0" w:lastRow="0" w:noHBand="0" w:noVBand="1" w:val="04A0"/>
      </w:tblPr>
      <w:tblGrid>
        <w:gridCol w:w="5162"/>
        <w:gridCol w:w="5162"/>
      </w:tblGrid>
      <w:tr>
        <w:trPr>
          <w:tblHeader w:val="true"/>
        </w:trPr>
        <w:tc>
          <w:tcPr>
            <w:tcW w:type="dxa" w:w="4680"/>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4"/>
              </w:rPr>
              <w:t>Today</w:t>
            </w:r>
          </w:p>
        </w:tc>
        <w:tc>
          <w:tcPr>
            <w:tcW w:type="dxa" w:w="4680"/>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4"/>
              </w:rPr>
              <w:t>With Termeow Agent</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Signals are fragmented across wallets, social feeds, charts, and group chats.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One conversation combines verified onchain activity, market structure, social context, and execution constraints.</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4"/>
              </w:rPr>
              <w:t>Automation requires rigid interfaces or trusting opaque bots.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4"/>
              </w:rPr>
              <w:t>The user states intent naturally, reviews an editable rule, and grants narrow Privy authorization.</w:t>
            </w:r>
          </w:p>
        </w:tc>
      </w:tr>
      <w:tr>
        <w:trPr>
          <w:cantSplit/>
        </w:trPr>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Alerts describe what happened after the edge is gone.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Low-latency streams evaluate user rules continuously and can execute within approved limits.</w:t>
            </w:r>
          </w:p>
        </w:tc>
      </w:tr>
    </w:tbl>
    <w:p>
      <w:pPr>
        <w:spacing w:after="20"/>
      </w:pPr>
    </w:p>
    <w:p>
      <w:pPr>
        <w:pStyle w:val="Heading1"/>
      </w:pPr>
      <w:r>
        <w:t>Core experience</w:t>
      </w:r>
    </w:p>
    <w:p>
      <w:pPr>
        <w:pStyle w:val="ListNumber"/>
        <w:spacing w:after="40"/>
      </w:pPr>
      <w:r>
        <w:t>Ask: Speak naturally, including trader handles, wallets, token names, time windows, sizing, entries, exits, and risk limits.</w:t>
      </w:r>
    </w:p>
    <w:p>
      <w:pPr>
        <w:pStyle w:val="ListNumber"/>
        <w:spacing w:after="40"/>
      </w:pPr>
      <w:r>
        <w:t>Understand: Termeow resolves identities and reads live price, market cap, liquidity, flow, volatility, wallet activity, and technical structure.</w:t>
      </w:r>
    </w:p>
    <w:p>
      <w:pPr>
        <w:pStyle w:val="ListNumber"/>
        <w:spacing w:after="40"/>
      </w:pPr>
      <w:r>
        <w:t>Shape: The agent converts intent into a precise, editable automation and explains it briefly in trader language.</w:t>
      </w:r>
    </w:p>
    <w:p>
      <w:pPr>
        <w:pStyle w:val="ListNumber"/>
        <w:spacing w:after="40"/>
      </w:pPr>
      <w:r>
        <w:t>Approve: A separate confirmation screen shows the complete rule and requests a Privy passkey for scoped authority.</w:t>
      </w:r>
    </w:p>
    <w:p>
      <w:pPr>
        <w:pStyle w:val="ListNumber"/>
        <w:spacing w:after="40"/>
      </w:pPr>
      <w:r>
        <w:t>Act: The backend watches continuously, executes through the best allowed route, and reports fills, exits, failures, and changed risk.</w:t>
      </w:r>
    </w:p>
    <w:p>
      <w:pPr>
        <w:pStyle w:val="Heading1"/>
      </w:pPr>
      <w:r>
        <w:t>What makes it valuable</w:t>
      </w:r>
    </w:p>
    <w:tbl>
      <w:tblPr>
        <w:tblW w:type="auto" w:w="0"/>
        <w:jc w:val="center"/>
        <w:tblLayout w:type="fixed"/>
        <w:tblLook w:firstColumn="1" w:firstRow="1" w:lastColumn="0" w:lastRow="0" w:noHBand="0" w:noVBand="1" w:val="04A0"/>
      </w:tblPr>
      <w:tblGrid>
        <w:gridCol w:w="5162"/>
        <w:gridCol w:w="5162"/>
      </w:tblGrid>
      <w:tr>
        <w:trPr>
          <w:tblHeader w:val="true"/>
        </w:trPr>
        <w:tc>
          <w:tcPr>
            <w:tcW w:type="dxa" w:w="2520"/>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4"/>
              </w:rPr>
              <w:t>Capability</w:t>
            </w:r>
          </w:p>
        </w:tc>
        <w:tc>
          <w:tcPr>
            <w:tcW w:type="dxa" w:w="6840"/>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4"/>
              </w:rPr>
              <w:t>Product expression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Advanced pattern recognition</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Market structure, Fib reactions, liquidity, slippage, wallet behavior, launch provenance, and social confirmation are combined instead of treated as isolated indicators.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4"/>
              </w:rPr>
              <w:t>Personal trading memory</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4"/>
              </w:rPr>
              <w:t>The agent learns explicit preferences and reviewed outcomes, then proposes better defaults without silently changing risk.</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Low-latency automation</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Armed conditions run as deterministic backend rules. The language model is not in the trigger path.</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4"/>
              </w:rPr>
              <w:t>Voice-native control</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4"/>
              </w:rPr>
              <w:t>Fast, casual answers; no spoken wallet addresses; concise numbers; interruptible dialogue; visual confirmation only when precision matters.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Bounded trust</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4"/>
              </w:rPr>
              <w:t>Privy policies restrict programs, routers, assets, destinations, spend, slippage, duration, and dependent exits.</w:t>
            </w:r>
          </w:p>
        </w:tc>
      </w:tr>
    </w:tbl>
    <w:p>
      <w:pPr>
        <w:spacing w:after="20"/>
      </w:pPr>
    </w:p>
    <w:p>
      <w:pPr>
        <w:pStyle w:val="Heading1"/>
      </w:pPr>
      <w:r>
        <w:t>Initial high-value jobs</w:t>
      </w:r>
    </w:p>
    <w:p>
      <w:pPr>
        <w:pStyle w:val="ListBullet"/>
        <w:spacing w:after="30"/>
      </w:pPr>
      <w:r>
        <w:t>Track a known trader overnight and copy qualifying buys near their entry with a linked take-profit and stop.</w:t>
      </w:r>
    </w:p>
    <w:p>
      <w:pPr>
        <w:pStyle w:val="ListBullet"/>
        <w:spacing w:after="30"/>
      </w:pPr>
      <w:r>
        <w:t>Enter a confirmed 0.618 retracement only inside a market-cap and liquidity range.</w:t>
      </w:r>
    </w:p>
    <w:p>
      <w:pPr>
        <w:pStyle w:val="ListBullet"/>
        <w:spacing w:after="30"/>
      </w:pPr>
      <w:r>
        <w:t>Watch likely launch accounts and react to a verified contract post under strict spend and destination rules.</w:t>
      </w:r>
    </w:p>
    <w:p>
      <w:pPr>
        <w:pStyle w:val="Heading1"/>
      </w:pPr>
      <w:r>
        <w:t>Audience and wedge</w:t>
      </w:r>
    </w:p>
    <w:p>
      <w:r>
        <w:t>The first users are high-frequency onchain traders who already understand execution risk and value speed. The wedge is not generic market commentary; it is turning nuanced, personal trading logic into a reliable automation through the quickest interface available: speech.</w:t>
      </w:r>
    </w:p>
    <w:p>
      <w:pPr>
        <w:pStyle w:val="Heading1"/>
      </w:pPr>
      <w:r>
        <w:t>MVP boundary</w:t>
      </w:r>
    </w:p>
    <w:p>
      <w:r>
        <w:t>Launch with Solana and Robinhood Chain, wallet and handle tracking, price and market-cap conditions, deterministic Fib rules, liquidity and slippage guards, editable entries and exits, Privy approvals, Jupiter and 0x execution, and concise voice status. Do not ship autonomous strategy invention, unrestricted signing, or black-box risk changes.</w:t>
      </w:r>
    </w:p>
    <w:p>
      <w:pPr>
        <w:pStyle w:val="Heading1"/>
      </w:pPr>
      <w:r>
        <w:t>Success measures</w:t>
      </w:r>
    </w:p>
    <w:p>
      <w:pPr>
        <w:pStyle w:val="ListBullet"/>
        <w:spacing w:after="30"/>
      </w:pPr>
      <w:r>
        <w:t>Median time from spoken intent to an approval-ready rule under 30 seconds.</w:t>
      </w:r>
    </w:p>
    <w:p>
      <w:pPr>
        <w:pStyle w:val="ListBullet"/>
        <w:spacing w:after="30"/>
      </w:pPr>
      <w:r>
        <w:t>At least 95 percent of accepted intents compile without manual rule reconstruction.</w:t>
      </w:r>
    </w:p>
    <w:p>
      <w:pPr>
        <w:pStyle w:val="ListBullet"/>
        <w:spacing w:after="30"/>
      </w:pPr>
      <w:r>
        <w:t>Trigger-to-submission latency tracked at p50, p95, and p99 by chain and router.</w:t>
      </w:r>
    </w:p>
    <w:p>
      <w:pPr>
        <w:pStyle w:val="ListBullet"/>
        <w:spacing w:after="30"/>
      </w:pPr>
      <w:r>
        <w:t>Zero executions outside the displayed rule or Privy policy.</w:t>
      </w:r>
    </w:p>
    <w:p>
      <w:pPr>
        <w:pStyle w:val="ListBullet"/>
        <w:spacing w:after="30"/>
      </w:pPr>
      <w:r>
        <w:t>Retention measured by users who arm a second automation using remembered preferences.</w:t>
      </w:r>
    </w:p>
    <w:sectPr w:rsidR="00FC693F" w:rsidRPr="0006063C" w:rsidSect="00034616">
      <w:footerReference w:type="default" r:id="rId9"/>
      <w:pgSz w:w="11909" w:h="16834"/>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66736C"/>
        <w:sz w:val="14"/>
      </w:rPr>
      <w:t>TERMEOW  /  PRODUCT AND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color w:val="101714"/>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