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Phase Topology Program</w:t>
      </w:r>
    </w:p>
    <w:p>
      <w:pPr>
        <w:jc w:val="center"/>
      </w:pPr>
      <w:r>
        <w:rPr>
          <w:rFonts w:ascii="Arial" w:hAnsi="Arial"/>
          <w:i/>
          <w:sz w:val="26"/>
        </w:rPr>
        <w:t>A Deployable Physics Rewrite of Phase Theory</w:t>
      </w:r>
    </w:p>
    <w:p>
      <w:pPr>
        <w:jc w:val="center"/>
      </w:pPr>
      <w:r>
        <w:t>Marlon Hanks</w:t>
        <w:br/>
        <w:t>Working manuscript rewritten for model-building, simulation, and experimental confrontation</w:t>
        <w:br/>
        <w:t>May 16, 2026</w:t>
      </w:r>
    </w:p>
    <w:p>
      <w:r>
        <w:t>Status. This rewrite converts Phase Theory from an ontological unification claim into a deployable research program. The central conjecture is retained: familiar fields, particles, and effective geometry may arise from constrained phase topology. The presentation is deliberately more conservative. It separates definitions, assumptions, derivations, numerical tasks, observables, and falsification criteria.</w:t>
      </w:r>
    </w:p>
    <w:p>
      <w:pPr>
        <w:pStyle w:val="Heading1"/>
      </w:pPr>
      <w:r>
        <w:t>Executive Abstract</w:t>
      </w:r>
    </w:p>
    <w:p>
      <w:r>
        <w:t>The Phase Topology Program proposes a class of pre-geometric models in which the primary dynamical object is a phase-bearing configuration on a non-metric base structure. Spacetime geometry, gauge structure, and particle-like excitations are treated as effective descriptions that emerge in regimes where phase correlations, topological defects, and coarse-grained transport admit continuum limits. The program is not presented here as a completed theory of nature. It is presented as a physics-deployable framework: a specified mathematical ansatz, a list of recoverable limits, a numerical workflow, and a set of measurable deviations from established theories.</w:t>
      </w:r>
    </w:p>
    <w:p>
      <w:r>
        <w:t>The minimum viable version of the theory must accomplish four tasks. First, it must define a phase configuration space and an inconsistency functional whose minima contain stable topological sectors. Second, it must show that a Lorentzian effective metric can be extracted from correlation data in a controlled continuum limit. Third, it must recover the Standard Model gauge structure and general relativity at measured precision in their tested domains. Fourth, it must generate at least one quantitative prediction that differs from Standard Model plus general relativity and can be tested without discretionary parameter fitting.</w:t>
      </w:r>
    </w:p>
    <w:p>
      <w:pPr>
        <w:pStyle w:val="Heading1"/>
      </w:pPr>
      <w:r>
        <w:t>1. Scope and Claim Discipline</w:t>
      </w:r>
    </w:p>
    <w:p>
      <w:r>
        <w:t>The original claim that phase is the sole constituent of physical reality is treated in this version as a guiding metaphysical motivation, not as a licensed scientific result. The scientific claim is narrower: there may exist a phase-topological model class whose low-energy, long-coherence limit reproduces known physics while predicting controlled departures in strong-field, high-energy, or nonlocal-topological regimes.</w:t>
      </w:r>
    </w:p>
    <w:p>
      <w:r>
        <w:t>The theory is deployable only if every major statement is assigned to one of five categories: definition, assumption, derived result, numerical conjecture, or experimental prediction. Statements outside those categories are removed from the technical core.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rFonts w:ascii="Arial" w:hAnsi="Arial"/>
                <w:b/>
                <w:sz w:val="18"/>
              </w:rPr>
              <w:t>Original posture</w:t>
            </w:r>
          </w:p>
        </w:tc>
        <w:tc>
          <w:tcPr>
            <w:tcW w:type="dxa" w:w="4968"/>
            <w:shd w:fill="D9EAF7"/>
          </w:tcPr>
          <w:p>
            <w:r/>
            <w:r>
              <w:rPr>
                <w:rFonts w:ascii="Arial" w:hAnsi="Arial"/>
                <w:b/>
                <w:sz w:val="18"/>
              </w:rPr>
              <w:t>Deployable posture</w:t>
            </w:r>
          </w:p>
        </w:tc>
      </w:tr>
      <w:tr>
        <w:tc>
          <w:tcPr>
            <w:tcW w:type="dxa" w:w="4968"/>
          </w:tcPr>
          <w:p>
            <w:r/>
            <w:r>
              <w:rPr>
                <w:rFonts w:ascii="Arial" w:hAnsi="Arial"/>
                <w:b w:val="0"/>
                <w:sz w:val="18"/>
              </w:rPr>
              <w:t>Phase is reality itself.</w:t>
            </w:r>
          </w:p>
        </w:tc>
        <w:tc>
          <w:tcPr>
            <w:tcW w:type="dxa" w:w="4968"/>
          </w:tcPr>
          <w:p>
            <w:r/>
            <w:r>
              <w:rPr>
                <w:rFonts w:ascii="Arial" w:hAnsi="Arial"/>
                <w:b w:val="0"/>
                <w:sz w:val="18"/>
              </w:rPr>
              <w:t>Phase is the primitive variable of a candidate model class.</w:t>
            </w:r>
          </w:p>
        </w:tc>
      </w:tr>
      <w:tr>
        <w:tc>
          <w:tcPr>
            <w:tcW w:type="dxa" w:w="4968"/>
          </w:tcPr>
          <w:p>
            <w:r/>
            <w:r>
              <w:rPr>
                <w:rFonts w:ascii="Arial" w:hAnsi="Arial"/>
                <w:b w:val="0"/>
                <w:sz w:val="18"/>
              </w:rPr>
              <w:t>Spacetime, fields, and particles are not real.</w:t>
            </w:r>
          </w:p>
        </w:tc>
        <w:tc>
          <w:tcPr>
            <w:tcW w:type="dxa" w:w="4968"/>
          </w:tcPr>
          <w:p>
            <w:r/>
            <w:r>
              <w:rPr>
                <w:rFonts w:ascii="Arial" w:hAnsi="Arial"/>
                <w:b w:val="0"/>
                <w:sz w:val="18"/>
              </w:rPr>
              <w:t>Spacetime, fields, and particles are effective variables to be recovered or the model fails.</w:t>
            </w:r>
          </w:p>
        </w:tc>
      </w:tr>
      <w:tr>
        <w:tc>
          <w:tcPr>
            <w:tcW w:type="dxa" w:w="4968"/>
          </w:tcPr>
          <w:p>
            <w:r/>
            <w:r>
              <w:rPr>
                <w:rFonts w:ascii="Arial" w:hAnsi="Arial"/>
                <w:b w:val="0"/>
                <w:sz w:val="18"/>
              </w:rPr>
              <w:t>Einstein equations emerge.</w:t>
            </w:r>
          </w:p>
        </w:tc>
        <w:tc>
          <w:tcPr>
            <w:tcW w:type="dxa" w:w="4968"/>
          </w:tcPr>
          <w:p>
            <w:r/>
            <w:r>
              <w:rPr>
                <w:rFonts w:ascii="Arial" w:hAnsi="Arial"/>
                <w:b w:val="0"/>
                <w:sz w:val="18"/>
              </w:rPr>
              <w:t>Einstein equations must be derived in a controlled limit or imposed as a calibration target.</w:t>
            </w:r>
          </w:p>
        </w:tc>
      </w:tr>
      <w:tr>
        <w:tc>
          <w:tcPr>
            <w:tcW w:type="dxa" w:w="4968"/>
          </w:tcPr>
          <w:p>
            <w:r/>
            <w:r>
              <w:rPr>
                <w:rFonts w:ascii="Arial" w:hAnsi="Arial"/>
                <w:b w:val="0"/>
                <w:sz w:val="18"/>
              </w:rPr>
              <w:t>Particle spectrum is finite.</w:t>
            </w:r>
          </w:p>
        </w:tc>
        <w:tc>
          <w:tcPr>
            <w:tcW w:type="dxa" w:w="4968"/>
          </w:tcPr>
          <w:p>
            <w:r/>
            <w:r>
              <w:rPr>
                <w:rFonts w:ascii="Arial" w:hAnsi="Arial"/>
                <w:b w:val="0"/>
                <w:sz w:val="18"/>
              </w:rPr>
              <w:t>Finite spectrum is a conjecture requiring an explicit energy bound and enumeration algorithm.</w:t>
            </w:r>
          </w:p>
        </w:tc>
      </w:tr>
      <w:tr>
        <w:tc>
          <w:tcPr>
            <w:tcW w:type="dxa" w:w="4968"/>
          </w:tcPr>
          <w:p>
            <w:r/>
            <w:r>
              <w:rPr>
                <w:rFonts w:ascii="Arial" w:hAnsi="Arial"/>
                <w:b w:val="0"/>
                <w:sz w:val="18"/>
              </w:rPr>
              <w:t>Eight predictions follow.</w:t>
            </w:r>
          </w:p>
        </w:tc>
        <w:tc>
          <w:tcPr>
            <w:tcW w:type="dxa" w:w="4968"/>
          </w:tcPr>
          <w:p>
            <w:r/>
            <w:r>
              <w:rPr>
                <w:rFonts w:ascii="Arial" w:hAnsi="Arial"/>
                <w:b w:val="0"/>
                <w:sz w:val="18"/>
              </w:rPr>
              <w:t>Predictions become deployable only when reduced to observables, priors, detector channels, and kill criteria.</w:t>
            </w:r>
          </w:p>
        </w:tc>
      </w:tr>
    </w:tbl>
    <w:p>
      <w:pPr>
        <w:pStyle w:val="Heading1"/>
      </w:pPr>
      <w:r>
        <w:t>2. Minimal Mathematical Model</w:t>
      </w:r>
    </w:p>
    <w:p>
      <w:r>
        <w:t>Let B be a connected base object. At the fundamental level B is not assumed to be a differentiable spacetime manifold. For deployability, B must be represented in one of two calculable forms: a finite graph sequence B_N with refinement parameter N, or a compact topological space admitting a triangulation. The dynamical variable is a section or map phi from B into a compact target space T. The initial Standard Model-compatible ansatz is T = U(1) x SU(2) x SU(3), but this is not derived; it is a model input to be tested.</w:t>
      </w:r>
    </w:p>
    <w:p>
      <w:pPr>
        <w:jc w:val="center"/>
      </w:pPr>
      <w:r>
        <w:rPr>
          <w:rFonts w:ascii="Cambria Math" w:hAnsi="Cambria Math"/>
          <w:sz w:val="21"/>
        </w:rPr>
        <w:t>phi : B -&gt; T,        T = U(1) x SU(2) x SU(3).</w:t>
      </w:r>
    </w:p>
    <w:p>
      <w:r>
        <w:t>A connection A is introduced when local comparison of phase values is required. The curvature F[A] = dA + A wedge A defines the local holonomy structure. The basic action-like functional is the phase-inconsistency functional I[phi, A].</w:t>
      </w:r>
    </w:p>
    <w:p>
      <w:pPr>
        <w:jc w:val="center"/>
      </w:pPr>
      <w:r>
        <w:rPr>
          <w:rFonts w:ascii="Cambria Math" w:hAnsi="Cambria Math"/>
          <w:sz w:val="21"/>
        </w:rPr>
        <w:t>I[phi, A] = integral_B { 1/2 K_ab(phi) D phi^a · D phi^b + V(phi) + lambda Tr(F[A]^2) } dmu_B.</w:t>
      </w:r>
    </w:p>
    <w:p>
      <w:r>
        <w:t>For a graph implementation, the continuum expression is replaced by a lattice functional:</w:t>
      </w:r>
    </w:p>
    <w:p>
      <w:pPr>
        <w:jc w:val="center"/>
      </w:pPr>
      <w:r>
        <w:rPr>
          <w:rFonts w:ascii="Cambria Math" w:hAnsi="Cambria Math"/>
          <w:sz w:val="21"/>
        </w:rPr>
        <w:t>I_N[phi, A] = sum_(edges ij) K(phi_i, phi_j) d_T(phi_i, A_ij phi_j)^2 + sum_i V(phi_i) + lambda sum_(plaquettes p) ||Hol_A(p) - 1||^2.</w:t>
      </w:r>
    </w:p>
    <w:p>
      <w:r>
        <w:t>The graph form is the deployable version. It can be simulated, minimized, coarse-grained, and compared with known lattice gauge theory benchmarks. Any continuum claim must be demonstrated as a limit of I_N as N increases.</w:t>
      </w:r>
    </w:p>
    <w:p>
      <w:pPr>
        <w:pStyle w:val="Heading1"/>
      </w:pPr>
      <w:r>
        <w:t>3. Working Assumptions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Arial" w:hAnsi="Arial"/>
                <w:b/>
                <w:sz w:val="18"/>
              </w:rPr>
              <w:t>Assumption</w:t>
            </w:r>
          </w:p>
        </w:tc>
        <w:tc>
          <w:tcPr>
            <w:tcW w:type="dxa" w:w="3312"/>
            <w:shd w:fill="D9EAF7"/>
          </w:tcPr>
          <w:p>
            <w:r/>
            <w:r>
              <w:rPr>
                <w:rFonts w:ascii="Arial" w:hAnsi="Arial"/>
                <w:b/>
                <w:sz w:val="18"/>
              </w:rPr>
              <w:t>Deployable content</w:t>
            </w:r>
          </w:p>
        </w:tc>
        <w:tc>
          <w:tcPr>
            <w:tcW w:type="dxa" w:w="3312"/>
            <w:shd w:fill="D9EAF7"/>
          </w:tcPr>
          <w:p>
            <w:r/>
            <w:r>
              <w:rPr>
                <w:rFonts w:ascii="Arial" w:hAnsi="Arial"/>
                <w:b/>
                <w:sz w:val="18"/>
              </w:rPr>
              <w:t>Failure mode</w:t>
            </w:r>
          </w:p>
        </w:tc>
      </w:tr>
      <w:tr>
        <w:tc>
          <w:tcPr>
            <w:tcW w:type="dxa" w:w="3312"/>
          </w:tcPr>
          <w:p>
            <w:r/>
            <w:r>
              <w:rPr>
                <w:rFonts w:ascii="Arial" w:hAnsi="Arial"/>
                <w:b/>
                <w:sz w:val="18"/>
              </w:rPr>
              <w:t>A1. Consistency minimization</w:t>
            </w:r>
          </w:p>
        </w:tc>
        <w:tc>
          <w:tcPr>
            <w:tcW w:type="dxa" w:w="3312"/>
          </w:tcPr>
          <w:p>
            <w:r/>
            <w:r>
              <w:rPr>
                <w:rFonts w:ascii="Arial" w:hAnsi="Arial"/>
                <w:b w:val="0"/>
                <w:sz w:val="18"/>
              </w:rPr>
              <w:t>Physical configurations are local or global minimizers of I within fixed boundary and topological sectors.</w:t>
            </w:r>
          </w:p>
        </w:tc>
        <w:tc>
          <w:tcPr>
            <w:tcW w:type="dxa" w:w="3312"/>
          </w:tcPr>
          <w:p>
            <w:r/>
            <w:r>
              <w:rPr>
                <w:rFonts w:ascii="Arial" w:hAnsi="Arial"/>
                <w:b w:val="0"/>
                <w:sz w:val="18"/>
              </w:rPr>
              <w:t>No stable or predictive minima exist.</w:t>
            </w:r>
          </w:p>
        </w:tc>
      </w:tr>
      <w:tr>
        <w:tc>
          <w:tcPr>
            <w:tcW w:type="dxa" w:w="3312"/>
          </w:tcPr>
          <w:p>
            <w:r/>
            <w:r>
              <w:rPr>
                <w:rFonts w:ascii="Arial" w:hAnsi="Arial"/>
                <w:b/>
                <w:sz w:val="18"/>
              </w:rPr>
              <w:t>A2. Update order</w:t>
            </w:r>
          </w:p>
        </w:tc>
        <w:tc>
          <w:tcPr>
            <w:tcW w:type="dxa" w:w="3312"/>
          </w:tcPr>
          <w:p>
            <w:r/>
            <w:r>
              <w:rPr>
                <w:rFonts w:ascii="Arial" w:hAnsi="Arial"/>
                <w:b w:val="0"/>
                <w:sz w:val="18"/>
              </w:rPr>
              <w:t>Dynamical evolution is a monotone relaxation or stochastic relaxation process on configuration space. The update graph is acyclic.</w:t>
            </w:r>
          </w:p>
        </w:tc>
        <w:tc>
          <w:tcPr>
            <w:tcW w:type="dxa" w:w="3312"/>
          </w:tcPr>
          <w:p>
            <w:r/>
            <w:r>
              <w:rPr>
                <w:rFonts w:ascii="Arial" w:hAnsi="Arial"/>
                <w:b w:val="0"/>
                <w:sz w:val="18"/>
              </w:rPr>
              <w:t>Update dynamics reintroduce hidden external time without explaining physical time.</w:t>
            </w:r>
          </w:p>
        </w:tc>
      </w:tr>
      <w:tr>
        <w:tc>
          <w:tcPr>
            <w:tcW w:type="dxa" w:w="3312"/>
          </w:tcPr>
          <w:p>
            <w:r/>
            <w:r>
              <w:rPr>
                <w:rFonts w:ascii="Arial" w:hAnsi="Arial"/>
                <w:b/>
                <w:sz w:val="18"/>
              </w:rPr>
              <w:t>A3. Topological stability</w:t>
            </w:r>
          </w:p>
        </w:tc>
        <w:tc>
          <w:tcPr>
            <w:tcW w:type="dxa" w:w="3312"/>
          </w:tcPr>
          <w:p>
            <w:r/>
            <w:r>
              <w:rPr>
                <w:rFonts w:ascii="Arial" w:hAnsi="Arial"/>
                <w:b w:val="0"/>
                <w:sz w:val="18"/>
              </w:rPr>
              <w:t>Stable excitations correspond to topological sectors with energy barriers preventing unwinding under allowed local moves.</w:t>
            </w:r>
          </w:p>
        </w:tc>
        <w:tc>
          <w:tcPr>
            <w:tcW w:type="dxa" w:w="3312"/>
          </w:tcPr>
          <w:p>
            <w:r/>
            <w:r>
              <w:rPr>
                <w:rFonts w:ascii="Arial" w:hAnsi="Arial"/>
                <w:b w:val="0"/>
                <w:sz w:val="18"/>
              </w:rPr>
              <w:t>Defects are unstable, infinite-energy, or empirically mismatched.</w:t>
            </w:r>
          </w:p>
        </w:tc>
      </w:tr>
      <w:tr>
        <w:tc>
          <w:tcPr>
            <w:tcW w:type="dxa" w:w="3312"/>
          </w:tcPr>
          <w:p>
            <w:r/>
            <w:r>
              <w:rPr>
                <w:rFonts w:ascii="Arial" w:hAnsi="Arial"/>
                <w:b/>
                <w:sz w:val="18"/>
              </w:rPr>
              <w:t>A4. Finite coherence</w:t>
            </w:r>
          </w:p>
        </w:tc>
        <w:tc>
          <w:tcPr>
            <w:tcW w:type="dxa" w:w="3312"/>
          </w:tcPr>
          <w:p>
            <w:r/>
            <w:r>
              <w:rPr>
                <w:rFonts w:ascii="Arial" w:hAnsi="Arial"/>
                <w:b w:val="0"/>
                <w:sz w:val="18"/>
              </w:rPr>
              <w:t>Correlations are bounded by a finite coherence scale or area-law mutual information condition.</w:t>
            </w:r>
          </w:p>
        </w:tc>
        <w:tc>
          <w:tcPr>
            <w:tcW w:type="dxa" w:w="3312"/>
          </w:tcPr>
          <w:p>
            <w:r/>
            <w:r>
              <w:rPr>
                <w:rFonts w:ascii="Arial" w:hAnsi="Arial"/>
                <w:b w:val="0"/>
                <w:sz w:val="18"/>
              </w:rPr>
              <w:t>Coherence bound cannot reproduce quantum statistics or thermodynamic entropy.</w:t>
            </w:r>
          </w:p>
        </w:tc>
      </w:tr>
      <w:tr>
        <w:tc>
          <w:tcPr>
            <w:tcW w:type="dxa" w:w="3312"/>
          </w:tcPr>
          <w:p>
            <w:r/>
            <w:r>
              <w:rPr>
                <w:rFonts w:ascii="Arial" w:hAnsi="Arial"/>
                <w:b/>
                <w:sz w:val="18"/>
              </w:rPr>
              <w:t>A5. Effective metric extraction</w:t>
            </w:r>
          </w:p>
        </w:tc>
        <w:tc>
          <w:tcPr>
            <w:tcW w:type="dxa" w:w="3312"/>
          </w:tcPr>
          <w:p>
            <w:r/>
            <w:r>
              <w:rPr>
                <w:rFonts w:ascii="Arial" w:hAnsi="Arial"/>
                <w:b w:val="0"/>
                <w:sz w:val="18"/>
              </w:rPr>
              <w:t>A coarse-grained metric, if it exists, is reconstructed from phase correlators, stiffness response, or transport data.</w:t>
            </w:r>
          </w:p>
        </w:tc>
        <w:tc>
          <w:tcPr>
            <w:tcW w:type="dxa" w:w="3312"/>
          </w:tcPr>
          <w:p>
            <w:r/>
            <w:r>
              <w:rPr>
                <w:rFonts w:ascii="Arial" w:hAnsi="Arial"/>
                <w:b w:val="0"/>
                <w:sz w:val="18"/>
              </w:rPr>
              <w:t>Extracted metric is not Lorentzian, not smooth, or does not recover GR.</w:t>
            </w:r>
          </w:p>
        </w:tc>
      </w:tr>
    </w:tbl>
    <w:p>
      <w:pPr>
        <w:pStyle w:val="Heading1"/>
      </w:pPr>
      <w:r>
        <w:t>4. Effective Geometry: Required Derivation Path</w:t>
      </w:r>
    </w:p>
    <w:p>
      <w:r>
        <w:t>The phrase "spacetime emerges" is not sufficient. The deployable claim requires a reconstruction map from microscopic phase data to macroscopic geometry. The proposed route is:</w:t>
      </w:r>
    </w:p>
    <w:p>
      <w:pPr>
        <w:pStyle w:val="ListNumber"/>
      </w:pPr>
      <w:r>
        <w:t>Compute connected two-point and transport correlators C_ij = &lt;phi_i · phi_j&gt;_connected on B_N.</w:t>
      </w:r>
    </w:p>
    <w:p>
      <w:pPr>
        <w:pStyle w:val="ListNumber"/>
      </w:pPr>
      <w:r>
        <w:t>Define an operational distance from correlation decay, spectral dimension, or propagation time of low-energy phase modes.</w:t>
      </w:r>
    </w:p>
    <w:p>
      <w:pPr>
        <w:pStyle w:val="ListNumber"/>
      </w:pPr>
      <w:r>
        <w:t>Fit the large-scale transport operator to an effective d-dimensional hyperbolic operator.</w:t>
      </w:r>
    </w:p>
    <w:p>
      <w:pPr>
        <w:pStyle w:val="ListNumber"/>
      </w:pPr>
      <w:r>
        <w:t>Extract an effective metric g_mu nu only when low-energy propagation is locally Lorentzian.</w:t>
      </w:r>
    </w:p>
    <w:p>
      <w:pPr>
        <w:pStyle w:val="ListNumber"/>
      </w:pPr>
      <w:r>
        <w:t>Quantify deviations from Lorentz invariance and bound them against existing high-precision constraints.</w:t>
      </w:r>
    </w:p>
    <w:p>
      <w:pPr>
        <w:jc w:val="center"/>
      </w:pPr>
      <w:r>
        <w:rPr>
          <w:rFonts w:ascii="Cambria Math" w:hAnsi="Cambria Math"/>
          <w:sz w:val="21"/>
        </w:rPr>
        <w:t>g_mu nu(x) proportional to &lt;D_mu phi(x) · D_nu phi(x)&gt;_coarse, only after a continuum chart and Lorentzian signature have been established.</w:t>
      </w:r>
    </w:p>
    <w:p>
      <w:r>
        <w:t>This makes metric emergence a theorem target, not a declared identity. The theory must show when the extracted object behaves like a metric, when it fails, and how the failure would appear observationally.</w:t>
      </w:r>
    </w:p>
    <w:p>
      <w:pPr>
        <w:pStyle w:val="Heading1"/>
      </w:pPr>
      <w:r>
        <w:t>5. Matter as Topological Excitation</w:t>
      </w:r>
    </w:p>
    <w:p>
      <w:r>
        <w:t>Particles are modeled as finite-energy, localized excitations protected by topological invariants. A deployable particle claim requires an enumeration algorithm, not a verbal classification. The minimum particle data structure is:</w:t>
      </w:r>
    </w:p>
    <w:p>
      <w:pPr>
        <w:jc w:val="center"/>
      </w:pPr>
      <w:r>
        <w:rPr>
          <w:rFonts w:ascii="Cambria Math" w:hAnsi="Cambria Math"/>
          <w:sz w:val="21"/>
        </w:rPr>
        <w:t>Xi = (q_U1, R_SU2, R_SU3, tau, s, boundary data).</w:t>
      </w:r>
    </w:p>
    <w:p>
      <w:r>
        <w:t>Here q_U1 is an electromagnetic winding or charge label, R_SU2 and R_SU3 are representation data, tau is a topological sector label such as homotopy, braid, knot, or holonomy class, and s labels spin/framing only if a spin-statistics derivation exists. A claimed particle exists only if the sector has finite energy, is stable or metastable long enough to be detected, and has calculable production and decay channels.</w:t>
      </w:r>
    </w:p>
    <w:p>
      <w:r>
        <w:t>The previous estimate of roughly 25 +/- 10 new detectable species should be reclassified as a research target, not a prediction, until a spectrum calculation produces masses, widths, charges, and branching ratios. The deployable prediction is not "new particles exist"; it is a table of candidate sectors with search channels and exclusion thresholds.</w:t>
      </w:r>
    </w:p>
    <w:p>
      <w:pPr>
        <w:pStyle w:val="Heading1"/>
      </w:pPr>
      <w:r>
        <w:t>6. Recovery of Known Physics</w:t>
      </w:r>
    </w:p>
    <w:p>
      <w:r>
        <w:t>A deployable unification program lives or dies by precision recovery. The Standard Model and general relativity are not optional outputs; they are calibration constraints. The model must pass the following gates before speculative predictions are credible.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Arial" w:hAnsi="Arial"/>
                <w:b/>
                <w:sz w:val="18"/>
              </w:rPr>
              <w:t>Gate</w:t>
            </w:r>
          </w:p>
        </w:tc>
        <w:tc>
          <w:tcPr>
            <w:tcW w:type="dxa" w:w="3312"/>
            <w:shd w:fill="D9EAF7"/>
          </w:tcPr>
          <w:p>
            <w:r/>
            <w:r>
              <w:rPr>
                <w:rFonts w:ascii="Arial" w:hAnsi="Arial"/>
                <w:b/>
                <w:sz w:val="18"/>
              </w:rPr>
              <w:t>Minimum deliverable</w:t>
            </w:r>
          </w:p>
        </w:tc>
        <w:tc>
          <w:tcPr>
            <w:tcW w:type="dxa" w:w="3312"/>
            <w:shd w:fill="D9EAF7"/>
          </w:tcPr>
          <w:p>
            <w:r/>
            <w:r>
              <w:rPr>
                <w:rFonts w:ascii="Arial" w:hAnsi="Arial"/>
                <w:b/>
                <w:sz w:val="18"/>
              </w:rPr>
              <w:t>Validation standard</w:t>
            </w:r>
          </w:p>
        </w:tc>
      </w:tr>
      <w:tr>
        <w:tc>
          <w:tcPr>
            <w:tcW w:type="dxa" w:w="3312"/>
          </w:tcPr>
          <w:p>
            <w:r/>
            <w:r>
              <w:rPr>
                <w:rFonts w:ascii="Arial" w:hAnsi="Arial"/>
                <w:b/>
                <w:sz w:val="18"/>
              </w:rPr>
              <w:t>Gauge sector</w:t>
            </w:r>
          </w:p>
        </w:tc>
        <w:tc>
          <w:tcPr>
            <w:tcW w:type="dxa" w:w="3312"/>
          </w:tcPr>
          <w:p>
            <w:r/>
            <w:r>
              <w:rPr>
                <w:rFonts w:ascii="Arial" w:hAnsi="Arial"/>
                <w:b w:val="0"/>
                <w:sz w:val="18"/>
              </w:rPr>
              <w:t>Recover U(1), SU(2), SU(3) gauge dynamics with correct massless photon, weak symmetry breaking, gluon confinement, and anomaly consistency.</w:t>
            </w:r>
          </w:p>
        </w:tc>
        <w:tc>
          <w:tcPr>
            <w:tcW w:type="dxa" w:w="3312"/>
          </w:tcPr>
          <w:p>
            <w:r/>
            <w:r>
              <w:rPr>
                <w:rFonts w:ascii="Arial" w:hAnsi="Arial"/>
                <w:b w:val="0"/>
                <w:sz w:val="18"/>
              </w:rPr>
              <w:t>Agreement with established measurements within published uncertainty or a documented limiting argument.</w:t>
            </w:r>
          </w:p>
        </w:tc>
      </w:tr>
      <w:tr>
        <w:tc>
          <w:tcPr>
            <w:tcW w:type="dxa" w:w="3312"/>
          </w:tcPr>
          <w:p>
            <w:r/>
            <w:r>
              <w:rPr>
                <w:rFonts w:ascii="Arial" w:hAnsi="Arial"/>
                <w:b/>
                <w:sz w:val="18"/>
              </w:rPr>
              <w:t>Quantum sector</w:t>
            </w:r>
          </w:p>
        </w:tc>
        <w:tc>
          <w:tcPr>
            <w:tcW w:type="dxa" w:w="3312"/>
          </w:tcPr>
          <w:p>
            <w:r/>
            <w:r>
              <w:rPr>
                <w:rFonts w:ascii="Arial" w:hAnsi="Arial"/>
                <w:b w:val="0"/>
                <w:sz w:val="18"/>
              </w:rPr>
              <w:t>Recover Hilbert-space linearity, Born probabilities, interference, entanglement, and no-signaling without adding a collapse rule.</w:t>
            </w:r>
          </w:p>
        </w:tc>
        <w:tc>
          <w:tcPr>
            <w:tcW w:type="dxa" w:w="3312"/>
          </w:tcPr>
          <w:p>
            <w:r/>
            <w:r>
              <w:rPr>
                <w:rFonts w:ascii="Arial" w:hAnsi="Arial"/>
                <w:b w:val="0"/>
                <w:sz w:val="18"/>
              </w:rPr>
              <w:t>Agreement with established measurements within published uncertainty or a documented limiting argument.</w:t>
            </w:r>
          </w:p>
        </w:tc>
      </w:tr>
      <w:tr>
        <w:tc>
          <w:tcPr>
            <w:tcW w:type="dxa" w:w="3312"/>
          </w:tcPr>
          <w:p>
            <w:r/>
            <w:r>
              <w:rPr>
                <w:rFonts w:ascii="Arial" w:hAnsi="Arial"/>
                <w:b/>
                <w:sz w:val="18"/>
              </w:rPr>
              <w:t>Relativistic sector</w:t>
            </w:r>
          </w:p>
        </w:tc>
        <w:tc>
          <w:tcPr>
            <w:tcW w:type="dxa" w:w="3312"/>
          </w:tcPr>
          <w:p>
            <w:r/>
            <w:r>
              <w:rPr>
                <w:rFonts w:ascii="Arial" w:hAnsi="Arial"/>
                <w:b w:val="0"/>
                <w:sz w:val="18"/>
              </w:rPr>
              <w:t>Recover Lorentz invariance at low energy and quantify all violations.</w:t>
            </w:r>
          </w:p>
        </w:tc>
        <w:tc>
          <w:tcPr>
            <w:tcW w:type="dxa" w:w="3312"/>
          </w:tcPr>
          <w:p>
            <w:r/>
            <w:r>
              <w:rPr>
                <w:rFonts w:ascii="Arial" w:hAnsi="Arial"/>
                <w:b w:val="0"/>
                <w:sz w:val="18"/>
              </w:rPr>
              <w:t>Agreement with established measurements within published uncertainty or a documented limiting argument.</w:t>
            </w:r>
          </w:p>
        </w:tc>
      </w:tr>
      <w:tr>
        <w:tc>
          <w:tcPr>
            <w:tcW w:type="dxa" w:w="3312"/>
          </w:tcPr>
          <w:p>
            <w:r/>
            <w:r>
              <w:rPr>
                <w:rFonts w:ascii="Arial" w:hAnsi="Arial"/>
                <w:b/>
                <w:sz w:val="18"/>
              </w:rPr>
              <w:t>Gravity sector</w:t>
            </w:r>
          </w:p>
        </w:tc>
        <w:tc>
          <w:tcPr>
            <w:tcW w:type="dxa" w:w="3312"/>
          </w:tcPr>
          <w:p>
            <w:r/>
            <w:r>
              <w:rPr>
                <w:rFonts w:ascii="Arial" w:hAnsi="Arial"/>
                <w:b w:val="0"/>
                <w:sz w:val="18"/>
              </w:rPr>
              <w:t>Recover Newtonian gravity, light bending, perihelion precession, Shapiro delay, gravitational redshift, binary-pulsar decay, and gravitational-wave propagation.</w:t>
            </w:r>
          </w:p>
        </w:tc>
        <w:tc>
          <w:tcPr>
            <w:tcW w:type="dxa" w:w="3312"/>
          </w:tcPr>
          <w:p>
            <w:r/>
            <w:r>
              <w:rPr>
                <w:rFonts w:ascii="Arial" w:hAnsi="Arial"/>
                <w:b w:val="0"/>
                <w:sz w:val="18"/>
              </w:rPr>
              <w:t>Agreement with established measurements within published uncertainty or a documented limiting argument.</w:t>
            </w:r>
          </w:p>
        </w:tc>
      </w:tr>
      <w:tr>
        <w:tc>
          <w:tcPr>
            <w:tcW w:type="dxa" w:w="3312"/>
          </w:tcPr>
          <w:p>
            <w:r/>
            <w:r>
              <w:rPr>
                <w:rFonts w:ascii="Arial" w:hAnsi="Arial"/>
                <w:b/>
                <w:sz w:val="18"/>
              </w:rPr>
              <w:t>Thermodynamic sector</w:t>
            </w:r>
          </w:p>
        </w:tc>
        <w:tc>
          <w:tcPr>
            <w:tcW w:type="dxa" w:w="3312"/>
          </w:tcPr>
          <w:p>
            <w:r/>
            <w:r>
              <w:rPr>
                <w:rFonts w:ascii="Arial" w:hAnsi="Arial"/>
                <w:b w:val="0"/>
                <w:sz w:val="18"/>
              </w:rPr>
              <w:t>Recover entropy increase, black-hole area scaling where applicable, and finite-temperature field behavior.</w:t>
            </w:r>
          </w:p>
        </w:tc>
        <w:tc>
          <w:tcPr>
            <w:tcW w:type="dxa" w:w="3312"/>
          </w:tcPr>
          <w:p>
            <w:r/>
            <w:r>
              <w:rPr>
                <w:rFonts w:ascii="Arial" w:hAnsi="Arial"/>
                <w:b w:val="0"/>
                <w:sz w:val="18"/>
              </w:rPr>
              <w:t>Agreement with established measurements within published uncertainty or a documented limiting argument.</w:t>
            </w:r>
          </w:p>
        </w:tc>
      </w:tr>
    </w:tbl>
    <w:p>
      <w:pPr>
        <w:pStyle w:val="Heading1"/>
      </w:pPr>
      <w:r>
        <w:t>7. Deployable Predictions</w:t>
      </w:r>
    </w:p>
    <w:p>
      <w:r>
        <w:t>The prediction section must be recast around observables. Each prediction below is framed as a measurable deviation, not as a philosophical claim.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
              <w:rPr>
                <w:rFonts w:ascii="Arial" w:hAnsi="Arial"/>
                <w:b/>
                <w:sz w:val="18"/>
              </w:rPr>
              <w:t>Prediction</w:t>
            </w:r>
          </w:p>
        </w:tc>
        <w:tc>
          <w:tcPr>
            <w:tcW w:type="dxa" w:w="2484"/>
            <w:shd w:fill="D9EAF7"/>
          </w:tcPr>
          <w:p>
            <w:r/>
            <w:r>
              <w:rPr>
                <w:rFonts w:ascii="Arial" w:hAnsi="Arial"/>
                <w:b/>
                <w:sz w:val="18"/>
              </w:rPr>
              <w:t>Claim</w:t>
            </w:r>
          </w:p>
        </w:tc>
        <w:tc>
          <w:tcPr>
            <w:tcW w:type="dxa" w:w="2484"/>
            <w:shd w:fill="D9EAF7"/>
          </w:tcPr>
          <w:p>
            <w:r/>
            <w:r>
              <w:rPr>
                <w:rFonts w:ascii="Arial" w:hAnsi="Arial"/>
                <w:b/>
                <w:sz w:val="18"/>
              </w:rPr>
              <w:t>Observable</w:t>
            </w:r>
          </w:p>
        </w:tc>
        <w:tc>
          <w:tcPr>
            <w:tcW w:type="dxa" w:w="2484"/>
            <w:shd w:fill="D9EAF7"/>
          </w:tcPr>
          <w:p>
            <w:r/>
            <w:r>
              <w:rPr>
                <w:rFonts w:ascii="Arial" w:hAnsi="Arial"/>
                <w:b/>
                <w:sz w:val="18"/>
              </w:rPr>
              <w:t>Kill criterion</w:t>
            </w:r>
          </w:p>
        </w:tc>
      </w:tr>
      <w:tr>
        <w:tc>
          <w:tcPr>
            <w:tcW w:type="dxa" w:w="2484"/>
          </w:tcPr>
          <w:p>
            <w:r/>
            <w:r>
              <w:rPr>
                <w:rFonts w:ascii="Arial" w:hAnsi="Arial"/>
                <w:b/>
                <w:sz w:val="18"/>
              </w:rPr>
              <w:t>P1. Strong-field refractive corrections</w:t>
            </w:r>
          </w:p>
        </w:tc>
        <w:tc>
          <w:tcPr>
            <w:tcW w:type="dxa" w:w="2484"/>
          </w:tcPr>
          <w:p>
            <w:r/>
            <w:r>
              <w:rPr>
                <w:rFonts w:ascii="Arial" w:hAnsi="Arial"/>
                <w:b w:val="0"/>
                <w:sz w:val="18"/>
              </w:rPr>
              <w:t>Binary-merger and ringdown waveforms may contain deviations from GR controlled by nonlinear phase stiffness near coherence saturation.</w:t>
            </w:r>
          </w:p>
        </w:tc>
        <w:tc>
          <w:tcPr>
            <w:tcW w:type="dxa" w:w="2484"/>
          </w:tcPr>
          <w:p>
            <w:r/>
            <w:r>
              <w:rPr>
                <w:rFonts w:ascii="Arial" w:hAnsi="Arial"/>
                <w:b w:val="0"/>
                <w:sz w:val="18"/>
              </w:rPr>
              <w:t>Parameterized correction to quasinormal-mode frequencies, tidal deformability, or post-merger spectrum.</w:t>
            </w:r>
          </w:p>
        </w:tc>
        <w:tc>
          <w:tcPr>
            <w:tcW w:type="dxa" w:w="2484"/>
          </w:tcPr>
          <w:p>
            <w:r/>
            <w:r>
              <w:rPr>
                <w:rFonts w:ascii="Arial" w:hAnsi="Arial"/>
                <w:b w:val="0"/>
                <w:sz w:val="18"/>
              </w:rPr>
              <w:t>No statistically significant residual after model-independent bounds reach the predicted amplitude.</w:t>
            </w:r>
          </w:p>
        </w:tc>
      </w:tr>
      <w:tr>
        <w:tc>
          <w:tcPr>
            <w:tcW w:type="dxa" w:w="2484"/>
          </w:tcPr>
          <w:p>
            <w:r/>
            <w:r>
              <w:rPr>
                <w:rFonts w:ascii="Arial" w:hAnsi="Arial"/>
                <w:b/>
                <w:sz w:val="18"/>
              </w:rPr>
              <w:t>P2. Non-contact dark-sector recoil</w:t>
            </w:r>
          </w:p>
        </w:tc>
        <w:tc>
          <w:tcPr>
            <w:tcW w:type="dxa" w:w="2484"/>
          </w:tcPr>
          <w:p>
            <w:r/>
            <w:r>
              <w:rPr>
                <w:rFonts w:ascii="Arial" w:hAnsi="Arial"/>
                <w:b w:val="0"/>
                <w:sz w:val="18"/>
              </w:rPr>
              <w:t>Dark-sector defects may produce recoil spectra not representable by finite contact-operator EFT.</w:t>
            </w:r>
          </w:p>
        </w:tc>
        <w:tc>
          <w:tcPr>
            <w:tcW w:type="dxa" w:w="2484"/>
          </w:tcPr>
          <w:p>
            <w:r/>
            <w:r>
              <w:rPr>
                <w:rFonts w:ascii="Arial" w:hAnsi="Arial"/>
                <w:b w:val="0"/>
                <w:sz w:val="18"/>
              </w:rPr>
              <w:t>Nuclear recoil spectrum shape, angular modulation, and momentum-transfer dependence.</w:t>
            </w:r>
          </w:p>
        </w:tc>
        <w:tc>
          <w:tcPr>
            <w:tcW w:type="dxa" w:w="2484"/>
          </w:tcPr>
          <w:p>
            <w:r/>
            <w:r>
              <w:rPr>
                <w:rFonts w:ascii="Arial" w:hAnsi="Arial"/>
                <w:b w:val="0"/>
                <w:sz w:val="18"/>
              </w:rPr>
              <w:t>Data constrain the non-polynomial component below the minimum model amplitude.</w:t>
            </w:r>
          </w:p>
        </w:tc>
      </w:tr>
      <w:tr>
        <w:tc>
          <w:tcPr>
            <w:tcW w:type="dxa" w:w="2484"/>
          </w:tcPr>
          <w:p>
            <w:r/>
            <w:r>
              <w:rPr>
                <w:rFonts w:ascii="Arial" w:hAnsi="Arial"/>
                <w:b/>
                <w:sz w:val="18"/>
              </w:rPr>
              <w:t>P3. Topology-dependent annihilation</w:t>
            </w:r>
          </w:p>
        </w:tc>
        <w:tc>
          <w:tcPr>
            <w:tcW w:type="dxa" w:w="2484"/>
          </w:tcPr>
          <w:p>
            <w:r/>
            <w:r>
              <w:rPr>
                <w:rFonts w:ascii="Arial" w:hAnsi="Arial"/>
                <w:b w:val="0"/>
                <w:sz w:val="18"/>
              </w:rPr>
              <w:t>Composite particle-antiparticle annihilation branching ratios may depend on topological recombination paths.</w:t>
            </w:r>
          </w:p>
        </w:tc>
        <w:tc>
          <w:tcPr>
            <w:tcW w:type="dxa" w:w="2484"/>
          </w:tcPr>
          <w:p>
            <w:r/>
            <w:r>
              <w:rPr>
                <w:rFonts w:ascii="Arial" w:hAnsi="Arial"/>
                <w:b w:val="0"/>
                <w:sz w:val="18"/>
              </w:rPr>
              <w:t>Branching ratios in proton-antiproton or meson-antimeson channels after QCD backgrounds are modeled.</w:t>
            </w:r>
          </w:p>
        </w:tc>
        <w:tc>
          <w:tcPr>
            <w:tcW w:type="dxa" w:w="2484"/>
          </w:tcPr>
          <w:p>
            <w:r/>
            <w:r>
              <w:rPr>
                <w:rFonts w:ascii="Arial" w:hAnsi="Arial"/>
                <w:b w:val="0"/>
                <w:sz w:val="18"/>
              </w:rPr>
              <w:t>Measured branching ratios match QFT predictions within errors and leave no residual topology term.</w:t>
            </w:r>
          </w:p>
        </w:tc>
      </w:tr>
      <w:tr>
        <w:tc>
          <w:tcPr>
            <w:tcW w:type="dxa" w:w="2484"/>
          </w:tcPr>
          <w:p>
            <w:r/>
            <w:r>
              <w:rPr>
                <w:rFonts w:ascii="Arial" w:hAnsi="Arial"/>
                <w:b/>
                <w:sz w:val="18"/>
              </w:rPr>
              <w:t>P4. Collider topological sectors</w:t>
            </w:r>
          </w:p>
        </w:tc>
        <w:tc>
          <w:tcPr>
            <w:tcW w:type="dxa" w:w="2484"/>
          </w:tcPr>
          <w:p>
            <w:r/>
            <w:r>
              <w:rPr>
                <w:rFonts w:ascii="Arial" w:hAnsi="Arial"/>
                <w:b w:val="0"/>
                <w:sz w:val="18"/>
              </w:rPr>
              <w:t>Additional metastable sectors may appear as resonances or long-lived states.</w:t>
            </w:r>
          </w:p>
        </w:tc>
        <w:tc>
          <w:tcPr>
            <w:tcW w:type="dxa" w:w="2484"/>
          </w:tcPr>
          <w:p>
            <w:r/>
            <w:r>
              <w:rPr>
                <w:rFonts w:ascii="Arial" w:hAnsi="Arial"/>
                <w:b w:val="0"/>
                <w:sz w:val="18"/>
              </w:rPr>
              <w:t>Mass, width, charge, missing-energy pattern, displaced vertices, or exotic bound states.</w:t>
            </w:r>
          </w:p>
        </w:tc>
        <w:tc>
          <w:tcPr>
            <w:tcW w:type="dxa" w:w="2484"/>
          </w:tcPr>
          <w:p>
            <w:r/>
            <w:r>
              <w:rPr>
                <w:rFonts w:ascii="Arial" w:hAnsi="Arial"/>
                <w:b w:val="0"/>
                <w:sz w:val="18"/>
              </w:rPr>
              <w:t>Null searches exclude the computed cross section and lifetime region.</w:t>
            </w:r>
          </w:p>
        </w:tc>
      </w:tr>
      <w:tr>
        <w:tc>
          <w:tcPr>
            <w:tcW w:type="dxa" w:w="2484"/>
          </w:tcPr>
          <w:p>
            <w:r/>
            <w:r>
              <w:rPr>
                <w:rFonts w:ascii="Arial" w:hAnsi="Arial"/>
                <w:b/>
                <w:sz w:val="18"/>
              </w:rPr>
              <w:t>P5. Lorentz/coherence corrections</w:t>
            </w:r>
          </w:p>
        </w:tc>
        <w:tc>
          <w:tcPr>
            <w:tcW w:type="dxa" w:w="2484"/>
          </w:tcPr>
          <w:p>
            <w:r/>
            <w:r>
              <w:rPr>
                <w:rFonts w:ascii="Arial" w:hAnsi="Arial"/>
                <w:b w:val="0"/>
                <w:sz w:val="18"/>
              </w:rPr>
              <w:t>Near the coherence scale, propagation may show controlled dispersion or correlation noise.</w:t>
            </w:r>
          </w:p>
        </w:tc>
        <w:tc>
          <w:tcPr>
            <w:tcW w:type="dxa" w:w="2484"/>
          </w:tcPr>
          <w:p>
            <w:r/>
            <w:r>
              <w:rPr>
                <w:rFonts w:ascii="Arial" w:hAnsi="Arial"/>
                <w:b w:val="0"/>
                <w:sz w:val="18"/>
              </w:rPr>
              <w:t>Energy-dependent dispersion, interferometer cross-correlations, or threshold anomalies.</w:t>
            </w:r>
          </w:p>
        </w:tc>
        <w:tc>
          <w:tcPr>
            <w:tcW w:type="dxa" w:w="2484"/>
          </w:tcPr>
          <w:p>
            <w:r/>
            <w:r>
              <w:rPr>
                <w:rFonts w:ascii="Arial" w:hAnsi="Arial"/>
                <w:b w:val="0"/>
                <w:sz w:val="18"/>
              </w:rPr>
              <w:t>Precision constraints force the coherence scale beyond the model’s viable range.</w:t>
            </w:r>
          </w:p>
        </w:tc>
      </w:tr>
    </w:tbl>
    <w:p>
      <w:pPr>
        <w:pStyle w:val="Heading1"/>
      </w:pPr>
      <w:r>
        <w:t>8. Numerical Deployment Plan</w:t>
      </w:r>
    </w:p>
    <w:p>
      <w:r>
        <w:t>The first serious deliverable should be a simulation stack, not another verbal unification paper. The simulation must implement the graph functional I_N, identify stable sectors, coarse-grain correlation data, and produce observables.</w:t>
      </w:r>
    </w:p>
    <w:p>
      <w:pPr>
        <w:pStyle w:val="ListNumber"/>
      </w:pPr>
      <w:r>
        <w:t>Build a finite graph or triangulated lattice with tunable topology and refinement parameter N.</w:t>
      </w:r>
    </w:p>
    <w:p>
      <w:pPr>
        <w:pStyle w:val="ListNumber"/>
      </w:pPr>
      <w:r>
        <w:t>Assign compact target variables phi_i in U(1), SU(2), and SU(3) sectors; represent connections A_ij on edges.</w:t>
      </w:r>
    </w:p>
    <w:p>
      <w:pPr>
        <w:pStyle w:val="ListNumber"/>
      </w:pPr>
      <w:r>
        <w:t>Implement I_N and validate it against known XY-model, Abelian-Higgs, and lattice Yang-Mills limits.</w:t>
      </w:r>
    </w:p>
    <w:p>
      <w:pPr>
        <w:pStyle w:val="ListNumber"/>
      </w:pPr>
      <w:r>
        <w:t>Run constrained minimization in fixed topological sectors to identify stable and metastable defects.</w:t>
      </w:r>
    </w:p>
    <w:p>
      <w:pPr>
        <w:pStyle w:val="ListNumber"/>
      </w:pPr>
      <w:r>
        <w:t>Measure defect energy, interaction potential, mobility, and annihilation channels.</w:t>
      </w:r>
    </w:p>
    <w:p>
      <w:pPr>
        <w:pStyle w:val="ListNumber"/>
      </w:pPr>
      <w:r>
        <w:t>Coarse-grain phase correlators to test whether a smooth metric and relativistic propagation emerge.</w:t>
      </w:r>
    </w:p>
    <w:p>
      <w:pPr>
        <w:pStyle w:val="ListNumber"/>
      </w:pPr>
      <w:r>
        <w:t>Fit model parameters only on calibration data, then freeze them before predicting holdout observables.</w:t>
      </w:r>
    </w:p>
    <w:p>
      <w:pPr>
        <w:pStyle w:val="Heading1"/>
      </w:pPr>
      <w:r>
        <w:t>9. Parameter Discipline</w:t>
      </w:r>
    </w:p>
    <w:p>
      <w:r>
        <w:t>The model must not become unfalsifiable through parameter flexibility. A deployable parameter protocol is mandatory:</w:t>
      </w:r>
    </w:p>
    <w:p>
      <w:pPr>
        <w:pStyle w:val="ListBullet"/>
      </w:pPr>
      <w:r>
        <w:t>Declare all free parameters before fitting: stiffness tensors, potential coefficients, noise strength, coherence scale, graph refinement rules, and boundary conditions.</w:t>
      </w:r>
    </w:p>
    <w:p>
      <w:pPr>
        <w:pStyle w:val="ListBullet"/>
      </w:pPr>
      <w:r>
        <w:t>Fit parameters only to a defined calibration set, such as known particle masses or low-energy coupling constants.</w:t>
      </w:r>
    </w:p>
    <w:p>
      <w:pPr>
        <w:pStyle w:val="ListBullet"/>
      </w:pPr>
      <w:r>
        <w:t>Reserve independent holdout data for prediction: gravitational-wave residuals, dark-matter recoil shapes, or collider searches.</w:t>
      </w:r>
    </w:p>
    <w:p>
      <w:pPr>
        <w:pStyle w:val="ListBullet"/>
      </w:pPr>
      <w:r>
        <w:t>Publish priors, likelihoods, and posterior predictive checks.</w:t>
      </w:r>
    </w:p>
    <w:p>
      <w:pPr>
        <w:pStyle w:val="ListBullet"/>
      </w:pPr>
      <w:r>
        <w:t>Report Bayesian evidence or information criteria against Standard Model plus GR baselines.</w:t>
      </w:r>
    </w:p>
    <w:p>
      <w:pPr>
        <w:pStyle w:val="Heading1"/>
      </w:pPr>
      <w:r>
        <w:t>10. Experimental Translation</w:t>
      </w:r>
    </w:p>
    <w:p>
      <w:r>
        <w:t>A physics-deployable theory needs a bridge from equations to detector files. Each proposed test must produce a likelihood-ready template.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Arial" w:hAnsi="Arial"/>
                <w:b/>
                <w:sz w:val="18"/>
              </w:rPr>
              <w:t>Domain</w:t>
            </w:r>
          </w:p>
        </w:tc>
        <w:tc>
          <w:tcPr>
            <w:tcW w:type="dxa" w:w="3312"/>
            <w:shd w:fill="D9EAF7"/>
          </w:tcPr>
          <w:p>
            <w:r/>
            <w:r>
              <w:rPr>
                <w:rFonts w:ascii="Arial" w:hAnsi="Arial"/>
                <w:b/>
                <w:sz w:val="18"/>
              </w:rPr>
              <w:t>Deployable object</w:t>
            </w:r>
          </w:p>
        </w:tc>
        <w:tc>
          <w:tcPr>
            <w:tcW w:type="dxa" w:w="3312"/>
            <w:shd w:fill="D9EAF7"/>
          </w:tcPr>
          <w:p>
            <w:r/>
            <w:r>
              <w:rPr>
                <w:rFonts w:ascii="Arial" w:hAnsi="Arial"/>
                <w:b/>
                <w:sz w:val="18"/>
              </w:rPr>
              <w:t>Data interface</w:t>
            </w:r>
          </w:p>
        </w:tc>
      </w:tr>
      <w:tr>
        <w:tc>
          <w:tcPr>
            <w:tcW w:type="dxa" w:w="3312"/>
          </w:tcPr>
          <w:p>
            <w:r/>
            <w:r>
              <w:rPr>
                <w:rFonts w:ascii="Arial" w:hAnsi="Arial"/>
                <w:b/>
                <w:sz w:val="18"/>
              </w:rPr>
              <w:t>Gravitational waves</w:t>
            </w:r>
          </w:p>
        </w:tc>
        <w:tc>
          <w:tcPr>
            <w:tcW w:type="dxa" w:w="3312"/>
          </w:tcPr>
          <w:p>
            <w:r/>
            <w:r>
              <w:rPr>
                <w:rFonts w:ascii="Arial" w:hAnsi="Arial"/>
                <w:b w:val="0"/>
                <w:sz w:val="18"/>
              </w:rPr>
              <w:t>Waveform correction module for inspiral, merger, or ringdown.</w:t>
            </w:r>
          </w:p>
        </w:tc>
        <w:tc>
          <w:tcPr>
            <w:tcW w:type="dxa" w:w="3312"/>
          </w:tcPr>
          <w:p>
            <w:r/>
            <w:r>
              <w:rPr>
                <w:rFonts w:ascii="Arial" w:hAnsi="Arial"/>
                <w:b w:val="0"/>
                <w:sz w:val="18"/>
              </w:rPr>
              <w:t>LIGO/Virgo/KAGRA public events; future Cosmic Explorer/Einstein Telescope analyses.</w:t>
            </w:r>
          </w:p>
        </w:tc>
      </w:tr>
      <w:tr>
        <w:tc>
          <w:tcPr>
            <w:tcW w:type="dxa" w:w="3312"/>
          </w:tcPr>
          <w:p>
            <w:r/>
            <w:r>
              <w:rPr>
                <w:rFonts w:ascii="Arial" w:hAnsi="Arial"/>
                <w:b/>
                <w:sz w:val="18"/>
              </w:rPr>
              <w:t>Dark matter</w:t>
            </w:r>
          </w:p>
        </w:tc>
        <w:tc>
          <w:tcPr>
            <w:tcW w:type="dxa" w:w="3312"/>
          </w:tcPr>
          <w:p>
            <w:r/>
            <w:r>
              <w:rPr>
                <w:rFonts w:ascii="Arial" w:hAnsi="Arial"/>
                <w:b w:val="0"/>
                <w:sz w:val="18"/>
              </w:rPr>
              <w:t>Recoil spectrum generator including detector response.</w:t>
            </w:r>
          </w:p>
        </w:tc>
        <w:tc>
          <w:tcPr>
            <w:tcW w:type="dxa" w:w="3312"/>
          </w:tcPr>
          <w:p>
            <w:r/>
            <w:r>
              <w:rPr>
                <w:rFonts w:ascii="Arial" w:hAnsi="Arial"/>
                <w:b w:val="0"/>
                <w:sz w:val="18"/>
              </w:rPr>
              <w:t>XENONnT, LZ, DARWIN-style xenon targets; low-threshold experiments.</w:t>
            </w:r>
          </w:p>
        </w:tc>
      </w:tr>
      <w:tr>
        <w:tc>
          <w:tcPr>
            <w:tcW w:type="dxa" w:w="3312"/>
          </w:tcPr>
          <w:p>
            <w:r/>
            <w:r>
              <w:rPr>
                <w:rFonts w:ascii="Arial" w:hAnsi="Arial"/>
                <w:b/>
                <w:sz w:val="18"/>
              </w:rPr>
              <w:t>Colliders</w:t>
            </w:r>
          </w:p>
        </w:tc>
        <w:tc>
          <w:tcPr>
            <w:tcW w:type="dxa" w:w="3312"/>
          </w:tcPr>
          <w:p>
            <w:r/>
            <w:r>
              <w:rPr>
                <w:rFonts w:ascii="Arial" w:hAnsi="Arial"/>
                <w:b w:val="0"/>
                <w:sz w:val="18"/>
              </w:rPr>
              <w:t>MadGraph/Pythia-compatible effective model or resonance template.</w:t>
            </w:r>
          </w:p>
        </w:tc>
        <w:tc>
          <w:tcPr>
            <w:tcW w:type="dxa" w:w="3312"/>
          </w:tcPr>
          <w:p>
            <w:r/>
            <w:r>
              <w:rPr>
                <w:rFonts w:ascii="Arial" w:hAnsi="Arial"/>
                <w:b w:val="0"/>
                <w:sz w:val="18"/>
              </w:rPr>
              <w:t>HL-LHC and future collider searches for resonances, displaced vertices, long-lived charged states.</w:t>
            </w:r>
          </w:p>
        </w:tc>
      </w:tr>
      <w:tr>
        <w:tc>
          <w:tcPr>
            <w:tcW w:type="dxa" w:w="3312"/>
          </w:tcPr>
          <w:p>
            <w:r/>
            <w:r>
              <w:rPr>
                <w:rFonts w:ascii="Arial" w:hAnsi="Arial"/>
                <w:b/>
                <w:sz w:val="18"/>
              </w:rPr>
              <w:t>Precision interferometry</w:t>
            </w:r>
          </w:p>
        </w:tc>
        <w:tc>
          <w:tcPr>
            <w:tcW w:type="dxa" w:w="3312"/>
          </w:tcPr>
          <w:p>
            <w:r/>
            <w:r>
              <w:rPr>
                <w:rFonts w:ascii="Arial" w:hAnsi="Arial"/>
                <w:b w:val="0"/>
                <w:sz w:val="18"/>
              </w:rPr>
              <w:t>Noise-correlation spectrum with coherence-scale dependence.</w:t>
            </w:r>
          </w:p>
        </w:tc>
        <w:tc>
          <w:tcPr>
            <w:tcW w:type="dxa" w:w="3312"/>
          </w:tcPr>
          <w:p>
            <w:r/>
            <w:r>
              <w:rPr>
                <w:rFonts w:ascii="Arial" w:hAnsi="Arial"/>
                <w:b w:val="0"/>
                <w:sz w:val="18"/>
              </w:rPr>
              <w:t>Dual-interferometer and atom-interferometer setups.</w:t>
            </w:r>
          </w:p>
        </w:tc>
      </w:tr>
      <w:tr>
        <w:tc>
          <w:tcPr>
            <w:tcW w:type="dxa" w:w="3312"/>
          </w:tcPr>
          <w:p>
            <w:r/>
            <w:r>
              <w:rPr>
                <w:rFonts w:ascii="Arial" w:hAnsi="Arial"/>
                <w:b/>
                <w:sz w:val="18"/>
              </w:rPr>
              <w:t>Cosmology</w:t>
            </w:r>
          </w:p>
        </w:tc>
        <w:tc>
          <w:tcPr>
            <w:tcW w:type="dxa" w:w="3312"/>
          </w:tcPr>
          <w:p>
            <w:r/>
            <w:r>
              <w:rPr>
                <w:rFonts w:ascii="Arial" w:hAnsi="Arial"/>
                <w:b w:val="0"/>
                <w:sz w:val="18"/>
              </w:rPr>
              <w:t>CMB non-Gaussian or polarization template.</w:t>
            </w:r>
          </w:p>
        </w:tc>
        <w:tc>
          <w:tcPr>
            <w:tcW w:type="dxa" w:w="3312"/>
          </w:tcPr>
          <w:p>
            <w:r/>
            <w:r>
              <w:rPr>
                <w:rFonts w:ascii="Arial" w:hAnsi="Arial"/>
                <w:b w:val="0"/>
                <w:sz w:val="18"/>
              </w:rPr>
              <w:t>CMB-S4, Simons Observatory, LiteBIRD-style forecasts.</w:t>
            </w:r>
          </w:p>
        </w:tc>
      </w:tr>
    </w:tbl>
    <w:p>
      <w:pPr>
        <w:pStyle w:val="Heading1"/>
      </w:pPr>
      <w:r>
        <w:t>11. Falsification Rules</w:t>
      </w:r>
    </w:p>
    <w:p>
      <w:r>
        <w:t>The theory must define what would make it wrong. The following rules prevent rhetorical survival after failed tests.</w:t>
      </w:r>
    </w:p>
    <w:p>
      <w:pPr>
        <w:pStyle w:val="ListBullet"/>
      </w:pPr>
      <w:r>
        <w:t>If no Lorentzian effective metric emerges in the controlled continuum limit, the geometry program fails.</w:t>
      </w:r>
    </w:p>
    <w:p>
      <w:pPr>
        <w:pStyle w:val="ListBullet"/>
      </w:pPr>
      <w:r>
        <w:t>If the recovered gauge sector cannot reproduce Standard Model anomaly structure and measured couplings, the particle program fails.</w:t>
      </w:r>
    </w:p>
    <w:p>
      <w:pPr>
        <w:pStyle w:val="ListBullet"/>
      </w:pPr>
      <w:r>
        <w:t>If all predicted deviations can be absorbed into arbitrary parameter choices, the model is not predictive.</w:t>
      </w:r>
    </w:p>
    <w:p>
      <w:pPr>
        <w:pStyle w:val="ListBullet"/>
      </w:pPr>
      <w:r>
        <w:t>If independent holdout data reject the predicted observable templates at decisive significance, the corresponding sector is falsified.</w:t>
      </w:r>
    </w:p>
    <w:p>
      <w:pPr>
        <w:pStyle w:val="ListBullet"/>
      </w:pPr>
      <w:r>
        <w:t>If every measurable prediction is pushed beyond possible observation after each null result, the program becomes non-physics and should be retired.</w:t>
      </w:r>
    </w:p>
    <w:p>
      <w:pPr>
        <w:pStyle w:val="Heading1"/>
      </w:pPr>
      <w:r>
        <w:t>12. Twelve-Month Deployment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Arial" w:hAnsi="Arial"/>
                <w:b/>
                <w:sz w:val="18"/>
              </w:rPr>
              <w:t>Window</w:t>
            </w:r>
          </w:p>
        </w:tc>
        <w:tc>
          <w:tcPr>
            <w:tcW w:type="dxa" w:w="3312"/>
            <w:shd w:fill="D9EAF7"/>
          </w:tcPr>
          <w:p>
            <w:r/>
            <w:r>
              <w:rPr>
                <w:rFonts w:ascii="Arial" w:hAnsi="Arial"/>
                <w:b/>
                <w:sz w:val="18"/>
              </w:rPr>
              <w:t>Milestone</w:t>
            </w:r>
          </w:p>
        </w:tc>
        <w:tc>
          <w:tcPr>
            <w:tcW w:type="dxa" w:w="3312"/>
            <w:shd w:fill="D9EAF7"/>
          </w:tcPr>
          <w:p>
            <w:r/>
            <w:r>
              <w:rPr>
                <w:rFonts w:ascii="Arial" w:hAnsi="Arial"/>
                <w:b/>
                <w:sz w:val="18"/>
              </w:rPr>
              <w:t>Deliverable</w:t>
            </w:r>
          </w:p>
        </w:tc>
      </w:tr>
      <w:tr>
        <w:tc>
          <w:tcPr>
            <w:tcW w:type="dxa" w:w="3312"/>
          </w:tcPr>
          <w:p>
            <w:r/>
            <w:r>
              <w:rPr>
                <w:rFonts w:ascii="Arial" w:hAnsi="Arial"/>
                <w:b/>
                <w:sz w:val="18"/>
              </w:rPr>
              <w:t>Month 1-2</w:t>
            </w:r>
          </w:p>
        </w:tc>
        <w:tc>
          <w:tcPr>
            <w:tcW w:type="dxa" w:w="3312"/>
          </w:tcPr>
          <w:p>
            <w:r/>
            <w:r>
              <w:rPr>
                <w:rFonts w:ascii="Arial" w:hAnsi="Arial"/>
                <w:b w:val="0"/>
                <w:sz w:val="18"/>
              </w:rPr>
              <w:t>Formal specification</w:t>
            </w:r>
          </w:p>
        </w:tc>
        <w:tc>
          <w:tcPr>
            <w:tcW w:type="dxa" w:w="3312"/>
          </w:tcPr>
          <w:p>
            <w:r/>
            <w:r>
              <w:rPr>
                <w:rFonts w:ascii="Arial" w:hAnsi="Arial"/>
                <w:b w:val="0"/>
                <w:sz w:val="18"/>
              </w:rPr>
              <w:t>Write a compact technical note defining B_N, T, variables, I_N, update dynamics, and boundary conditions.</w:t>
            </w:r>
          </w:p>
        </w:tc>
      </w:tr>
      <w:tr>
        <w:tc>
          <w:tcPr>
            <w:tcW w:type="dxa" w:w="3312"/>
          </w:tcPr>
          <w:p>
            <w:r/>
            <w:r>
              <w:rPr>
                <w:rFonts w:ascii="Arial" w:hAnsi="Arial"/>
                <w:b/>
                <w:sz w:val="18"/>
              </w:rPr>
              <w:t>Month 3-4</w:t>
            </w:r>
          </w:p>
        </w:tc>
        <w:tc>
          <w:tcPr>
            <w:tcW w:type="dxa" w:w="3312"/>
          </w:tcPr>
          <w:p>
            <w:r/>
            <w:r>
              <w:rPr>
                <w:rFonts w:ascii="Arial" w:hAnsi="Arial"/>
                <w:b w:val="0"/>
                <w:sz w:val="18"/>
              </w:rPr>
              <w:t>Toy-model validation</w:t>
            </w:r>
          </w:p>
        </w:tc>
        <w:tc>
          <w:tcPr>
            <w:tcW w:type="dxa" w:w="3312"/>
          </w:tcPr>
          <w:p>
            <w:r/>
            <w:r>
              <w:rPr>
                <w:rFonts w:ascii="Arial" w:hAnsi="Arial"/>
                <w:b w:val="0"/>
                <w:sz w:val="18"/>
              </w:rPr>
              <w:t>Recover known vortex, soliton, and lattice-gauge behavior in simplified U(1) and SU(2) sectors.</w:t>
            </w:r>
          </w:p>
        </w:tc>
      </w:tr>
      <w:tr>
        <w:tc>
          <w:tcPr>
            <w:tcW w:type="dxa" w:w="3312"/>
          </w:tcPr>
          <w:p>
            <w:r/>
            <w:r>
              <w:rPr>
                <w:rFonts w:ascii="Arial" w:hAnsi="Arial"/>
                <w:b/>
                <w:sz w:val="18"/>
              </w:rPr>
              <w:t>Month 5-6</w:t>
            </w:r>
          </w:p>
        </w:tc>
        <w:tc>
          <w:tcPr>
            <w:tcW w:type="dxa" w:w="3312"/>
          </w:tcPr>
          <w:p>
            <w:r/>
            <w:r>
              <w:rPr>
                <w:rFonts w:ascii="Arial" w:hAnsi="Arial"/>
                <w:b w:val="0"/>
                <w:sz w:val="18"/>
              </w:rPr>
              <w:t>Defect enumeration</w:t>
            </w:r>
          </w:p>
        </w:tc>
        <w:tc>
          <w:tcPr>
            <w:tcW w:type="dxa" w:w="3312"/>
          </w:tcPr>
          <w:p>
            <w:r/>
            <w:r>
              <w:rPr>
                <w:rFonts w:ascii="Arial" w:hAnsi="Arial"/>
                <w:b w:val="0"/>
                <w:sz w:val="18"/>
              </w:rPr>
              <w:t>Produce the first stable-sector catalog with energies, interactions, and annihilation channels.</w:t>
            </w:r>
          </w:p>
        </w:tc>
      </w:tr>
      <w:tr>
        <w:tc>
          <w:tcPr>
            <w:tcW w:type="dxa" w:w="3312"/>
          </w:tcPr>
          <w:p>
            <w:r/>
            <w:r>
              <w:rPr>
                <w:rFonts w:ascii="Arial" w:hAnsi="Arial"/>
                <w:b/>
                <w:sz w:val="18"/>
              </w:rPr>
              <w:t>Month 7-8</w:t>
            </w:r>
          </w:p>
        </w:tc>
        <w:tc>
          <w:tcPr>
            <w:tcW w:type="dxa" w:w="3312"/>
          </w:tcPr>
          <w:p>
            <w:r/>
            <w:r>
              <w:rPr>
                <w:rFonts w:ascii="Arial" w:hAnsi="Arial"/>
                <w:b w:val="0"/>
                <w:sz w:val="18"/>
              </w:rPr>
              <w:t>Metric emergence test</w:t>
            </w:r>
          </w:p>
        </w:tc>
        <w:tc>
          <w:tcPr>
            <w:tcW w:type="dxa" w:w="3312"/>
          </w:tcPr>
          <w:p>
            <w:r/>
            <w:r>
              <w:rPr>
                <w:rFonts w:ascii="Arial" w:hAnsi="Arial"/>
                <w:b w:val="0"/>
                <w:sz w:val="18"/>
              </w:rPr>
              <w:t>Measure spectral dimension, propagation cones, and coarse-grained metric behavior.</w:t>
            </w:r>
          </w:p>
        </w:tc>
      </w:tr>
      <w:tr>
        <w:tc>
          <w:tcPr>
            <w:tcW w:type="dxa" w:w="3312"/>
          </w:tcPr>
          <w:p>
            <w:r/>
            <w:r>
              <w:rPr>
                <w:rFonts w:ascii="Arial" w:hAnsi="Arial"/>
                <w:b/>
                <w:sz w:val="18"/>
              </w:rPr>
              <w:t>Month 9-10</w:t>
            </w:r>
          </w:p>
        </w:tc>
        <w:tc>
          <w:tcPr>
            <w:tcW w:type="dxa" w:w="3312"/>
          </w:tcPr>
          <w:p>
            <w:r/>
            <w:r>
              <w:rPr>
                <w:rFonts w:ascii="Arial" w:hAnsi="Arial"/>
                <w:b w:val="0"/>
                <w:sz w:val="18"/>
              </w:rPr>
              <w:t>Observable generator</w:t>
            </w:r>
          </w:p>
        </w:tc>
        <w:tc>
          <w:tcPr>
            <w:tcW w:type="dxa" w:w="3312"/>
          </w:tcPr>
          <w:p>
            <w:r/>
            <w:r>
              <w:rPr>
                <w:rFonts w:ascii="Arial" w:hAnsi="Arial"/>
                <w:b w:val="0"/>
                <w:sz w:val="18"/>
              </w:rPr>
              <w:t>Build one template generator: gravitational waveform correction, recoil spectrum, or collider resonance model.</w:t>
            </w:r>
          </w:p>
        </w:tc>
      </w:tr>
      <w:tr>
        <w:tc>
          <w:tcPr>
            <w:tcW w:type="dxa" w:w="3312"/>
          </w:tcPr>
          <w:p>
            <w:r/>
            <w:r>
              <w:rPr>
                <w:rFonts w:ascii="Arial" w:hAnsi="Arial"/>
                <w:b/>
                <w:sz w:val="18"/>
              </w:rPr>
              <w:t>Month 11-12</w:t>
            </w:r>
          </w:p>
        </w:tc>
        <w:tc>
          <w:tcPr>
            <w:tcW w:type="dxa" w:w="3312"/>
          </w:tcPr>
          <w:p>
            <w:r/>
            <w:r>
              <w:rPr>
                <w:rFonts w:ascii="Arial" w:hAnsi="Arial"/>
                <w:b w:val="0"/>
                <w:sz w:val="18"/>
              </w:rPr>
              <w:t>First falsifiable paper</w:t>
            </w:r>
          </w:p>
        </w:tc>
        <w:tc>
          <w:tcPr>
            <w:tcW w:type="dxa" w:w="3312"/>
          </w:tcPr>
          <w:p>
            <w:r/>
            <w:r>
              <w:rPr>
                <w:rFonts w:ascii="Arial" w:hAnsi="Arial"/>
                <w:b w:val="0"/>
                <w:sz w:val="18"/>
              </w:rPr>
              <w:t>Submit a narrow paper with one quantitative prediction and a public simulation repository.</w:t>
            </w:r>
          </w:p>
        </w:tc>
      </w:tr>
    </w:tbl>
    <w:p>
      <w:pPr>
        <w:pStyle w:val="Heading1"/>
      </w:pPr>
      <w:r>
        <w:t>13. Rewritten Conclusion</w:t>
      </w:r>
    </w:p>
    <w:p>
      <w:r>
        <w:t>Phase Theory becomes real physics only when it stops asking readers to accept the ontology and starts forcing the ontology to earn its keep. The deployable version is a constrained phase-topological model class with explicit variables, computable functionals, controlled limits, and measurable deviations. Its value is not that it declares spacetime, particles, and forces emergent. Its value will be determined by whether it can recover those structures quantitatively and then predict something that Standard Model plus general relativity does not.</w:t>
      </w:r>
    </w:p>
    <w:p>
      <w:r>
        <w:t>The next defensible claim is therefore modest but powerful: a phase-topological substrate model can be formulated, simulated, and tested. If it recovers known limits and produces a frozen, quantitative, experimentally distinct prediction, it becomes physics. If it cannot, the framework should be revised or abandoned.</w:t>
      </w:r>
    </w:p>
    <w:p>
      <w:pPr>
        <w:pStyle w:val="Heading1"/>
      </w:pPr>
      <w:r>
        <w:t>Appendix A. Language Replacement Guide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rFonts w:ascii="Arial" w:hAnsi="Arial"/>
                <w:b/>
                <w:sz w:val="18"/>
              </w:rPr>
              <w:t>Remove / demote</w:t>
            </w:r>
          </w:p>
        </w:tc>
        <w:tc>
          <w:tcPr>
            <w:tcW w:type="dxa" w:w="4968"/>
            <w:shd w:fill="D9EAF7"/>
          </w:tcPr>
          <w:p>
            <w:r/>
            <w:r>
              <w:rPr>
                <w:rFonts w:ascii="Arial" w:hAnsi="Arial"/>
                <w:b/>
                <w:sz w:val="18"/>
              </w:rPr>
              <w:t>Use instead</w:t>
            </w:r>
          </w:p>
        </w:tc>
      </w:tr>
      <w:tr>
        <w:tc>
          <w:tcPr>
            <w:tcW w:type="dxa" w:w="4968"/>
          </w:tcPr>
          <w:p>
            <w:r/>
            <w:r>
              <w:rPr>
                <w:rFonts w:ascii="Arial" w:hAnsi="Arial"/>
                <w:b w:val="0"/>
                <w:sz w:val="18"/>
              </w:rPr>
              <w:t>This is the ontological ground of reality.</w:t>
            </w:r>
          </w:p>
        </w:tc>
        <w:tc>
          <w:tcPr>
            <w:tcW w:type="dxa" w:w="4968"/>
          </w:tcPr>
          <w:p>
            <w:r/>
            <w:r>
              <w:rPr>
                <w:rFonts w:ascii="Arial" w:hAnsi="Arial"/>
                <w:b w:val="0"/>
                <w:sz w:val="18"/>
              </w:rPr>
              <w:t>This is the proposed primitive variable of the model.</w:t>
            </w:r>
          </w:p>
        </w:tc>
      </w:tr>
      <w:tr>
        <w:tc>
          <w:tcPr>
            <w:tcW w:type="dxa" w:w="4968"/>
          </w:tcPr>
          <w:p>
            <w:r/>
            <w:r>
              <w:rPr>
                <w:rFonts w:ascii="Arial" w:hAnsi="Arial"/>
                <w:b w:val="0"/>
                <w:sz w:val="18"/>
              </w:rPr>
              <w:t>The theory derives all known physics.</w:t>
            </w:r>
          </w:p>
        </w:tc>
        <w:tc>
          <w:tcPr>
            <w:tcW w:type="dxa" w:w="4968"/>
          </w:tcPr>
          <w:p>
            <w:r/>
            <w:r>
              <w:rPr>
                <w:rFonts w:ascii="Arial" w:hAnsi="Arial"/>
                <w:b w:val="0"/>
                <w:sz w:val="18"/>
              </w:rPr>
              <w:t>The theory is designed to recover known physics in specified limits.</w:t>
            </w:r>
          </w:p>
        </w:tc>
      </w:tr>
      <w:tr>
        <w:tc>
          <w:tcPr>
            <w:tcW w:type="dxa" w:w="4968"/>
          </w:tcPr>
          <w:p>
            <w:r/>
            <w:r>
              <w:rPr>
                <w:rFonts w:ascii="Arial" w:hAnsi="Arial"/>
                <w:b w:val="0"/>
                <w:sz w:val="18"/>
              </w:rPr>
              <w:t>This proves time travel is impossible.</w:t>
            </w:r>
          </w:p>
        </w:tc>
        <w:tc>
          <w:tcPr>
            <w:tcW w:type="dxa" w:w="4968"/>
          </w:tcPr>
          <w:p>
            <w:r/>
            <w:r>
              <w:rPr>
                <w:rFonts w:ascii="Arial" w:hAnsi="Arial"/>
                <w:b w:val="0"/>
                <w:sz w:val="18"/>
              </w:rPr>
              <w:t>The update-order assumption excludes causal cycles within this model class.</w:t>
            </w:r>
          </w:p>
        </w:tc>
      </w:tr>
      <w:tr>
        <w:tc>
          <w:tcPr>
            <w:tcW w:type="dxa" w:w="4968"/>
          </w:tcPr>
          <w:p>
            <w:r/>
            <w:r>
              <w:rPr>
                <w:rFonts w:ascii="Arial" w:hAnsi="Arial"/>
                <w:b w:val="0"/>
                <w:sz w:val="18"/>
              </w:rPr>
              <w:t>Gravity is refraction.</w:t>
            </w:r>
          </w:p>
        </w:tc>
        <w:tc>
          <w:tcPr>
            <w:tcW w:type="dxa" w:w="4968"/>
          </w:tcPr>
          <w:p>
            <w:r/>
            <w:r>
              <w:rPr>
                <w:rFonts w:ascii="Arial" w:hAnsi="Arial"/>
                <w:b w:val="0"/>
                <w:sz w:val="18"/>
              </w:rPr>
              <w:t>In the effective regime, gravitational transport is modeled as propagation through a phase-stiffness gradient.</w:t>
            </w:r>
          </w:p>
        </w:tc>
      </w:tr>
      <w:tr>
        <w:tc>
          <w:tcPr>
            <w:tcW w:type="dxa" w:w="4968"/>
          </w:tcPr>
          <w:p>
            <w:r/>
            <w:r>
              <w:rPr>
                <w:rFonts w:ascii="Arial" w:hAnsi="Arial"/>
                <w:b w:val="0"/>
                <w:sz w:val="18"/>
              </w:rPr>
              <w:t>Particles are topological defects.</w:t>
            </w:r>
          </w:p>
        </w:tc>
        <w:tc>
          <w:tcPr>
            <w:tcW w:type="dxa" w:w="4968"/>
          </w:tcPr>
          <w:p>
            <w:r/>
            <w:r>
              <w:rPr>
                <w:rFonts w:ascii="Arial" w:hAnsi="Arial"/>
                <w:b w:val="0"/>
                <w:sz w:val="18"/>
              </w:rPr>
              <w:t>Particle-like excitations are represented by finite-energy topological sectors.</w:t>
            </w:r>
          </w:p>
        </w:tc>
      </w:tr>
      <w:tr>
        <w:tc>
          <w:tcPr>
            <w:tcW w:type="dxa" w:w="4968"/>
          </w:tcPr>
          <w:p>
            <w:r/>
            <w:r>
              <w:rPr>
                <w:rFonts w:ascii="Arial" w:hAnsi="Arial"/>
                <w:b w:val="0"/>
                <w:sz w:val="18"/>
              </w:rPr>
              <w:t>The theory predicts 25 +/- 10 new particles.</w:t>
            </w:r>
          </w:p>
        </w:tc>
        <w:tc>
          <w:tcPr>
            <w:tcW w:type="dxa" w:w="4968"/>
          </w:tcPr>
          <w:p>
            <w:r/>
            <w:r>
              <w:rPr>
                <w:rFonts w:ascii="Arial" w:hAnsi="Arial"/>
                <w:b w:val="0"/>
                <w:sz w:val="18"/>
              </w:rPr>
              <w:t>The theory motivates a sector-enumeration program that may produce new-particle candidates after calculation.</w:t>
            </w:r>
          </w:p>
        </w:tc>
      </w:tr>
    </w:tbl>
    <w:p>
      <w:pPr>
        <w:pStyle w:val="Heading1"/>
      </w:pPr>
      <w:r>
        <w:t>Appendix B. Minimum Viable Paper Outline</w:t>
      </w:r>
    </w:p>
    <w:p>
      <w:pPr>
        <w:pStyle w:val="ListNumber"/>
      </w:pPr>
      <w:r>
        <w:t>Introduction: why phase-topological models are worth testing, not why they are metaphysically final.</w:t>
      </w:r>
    </w:p>
    <w:p>
      <w:pPr>
        <w:pStyle w:val="ListNumber"/>
      </w:pPr>
      <w:r>
        <w:t>Definition of the finite graph model and continuum ambition.</w:t>
      </w:r>
    </w:p>
    <w:p>
      <w:pPr>
        <w:pStyle w:val="ListNumber"/>
      </w:pPr>
      <w:r>
        <w:t>Inconsistency functional and update dynamics.</w:t>
      </w:r>
    </w:p>
    <w:p>
      <w:pPr>
        <w:pStyle w:val="ListNumber"/>
      </w:pPr>
      <w:r>
        <w:t>Topological sectors and stability conditions.</w:t>
      </w:r>
    </w:p>
    <w:p>
      <w:pPr>
        <w:pStyle w:val="ListNumber"/>
      </w:pPr>
      <w:r>
        <w:t>Coarse-graining and metric reconstruction test.</w:t>
      </w:r>
    </w:p>
    <w:p>
      <w:pPr>
        <w:pStyle w:val="ListNumber"/>
      </w:pPr>
      <w:r>
        <w:t>One validated toy model benchmark.</w:t>
      </w:r>
    </w:p>
    <w:p>
      <w:pPr>
        <w:pStyle w:val="ListNumber"/>
      </w:pPr>
      <w:r>
        <w:t>One quantitative prediction with a detector-facing observable.</w:t>
      </w:r>
    </w:p>
    <w:p>
      <w:pPr>
        <w:pStyle w:val="ListNumber"/>
      </w:pPr>
      <w:r>
        <w:t>Explicit failure conditions.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Phase Topology Program - Deployable Physics Rewrite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Topology Program: A Deployable Physics Rewrite of Phase Theory</dc:title>
  <dc:subject>Physics deployment rewrite</dc:subject>
  <dc:creator>Marlon Hanks / OpenAI rewrite assistance</dc:creator>
  <cp:keywords/>
  <dc:description>Rewritten from the uploaded Phase Theory preprint into a deployable model-building program.</dc:description>
  <cp:lastModifiedBy/>
  <cp:revision>1</cp:revision>
  <dcterms:created xsi:type="dcterms:W3CDTF">2013-12-23T23:15:00Z</dcterms:created>
  <dcterms:modified xsi:type="dcterms:W3CDTF">2013-12-23T23:15:00Z</dcterms:modified>
  <cp:category/>
</cp:coreProperties>
</file>