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C9A227"/>
          <w:sz w:val="22"/>
          <w:szCs w:val="22"/>
        </w:rPr>
        <w:t xml:space="preserve">D U S T   L L C</w:t>
      </w:r>
    </w:p>
    <w:p>
      <w:pPr>
        <w:spacing w:after="700" w:before="120"/>
        <w:jc w:val="center"/>
      </w:pPr>
      <w:r>
        <w:rPr>
          <w:rFonts w:ascii="Arial" w:cs="Arial" w:eastAsia="Arial" w:hAnsi="Arial"/>
          <w:b/>
          <w:bCs/>
          <w:color w:val="0B1F3B"/>
          <w:sz w:val="20"/>
          <w:szCs w:val="20"/>
        </w:rPr>
        <w:t xml:space="preserve">PHASE MECHANICS SERIES  ·  PM–2</w:t>
      </w:r>
    </w:p>
    <w:p>
      <w:pPr>
        <w:spacing w:after="200" w:before="200"/>
        <w:jc w:val="center"/>
      </w:pPr>
      <w:r>
        <w:rPr>
          <w:rFonts w:ascii="Arial" w:cs="Arial" w:eastAsia="Arial" w:hAnsi="Arial"/>
          <w:b/>
          <w:bCs/>
          <w:color w:val="0B1F3B"/>
          <w:sz w:val="46"/>
          <w:szCs w:val="46"/>
        </w:rPr>
        <w:t xml:space="preserve">THE COMPLETE PHASEFUNCTION EQUATION</w:t>
      </w:r>
    </w:p>
    <w:p>
      <w:pPr>
        <w:spacing w:after="500" w:before="100"/>
        <w:jc w:val="center"/>
      </w:pPr>
      <w:r>
        <w:rPr>
          <w:rFonts w:ascii="Arial" w:cs="Arial" w:eastAsia="Arial" w:hAnsi="Arial"/>
          <w:i/>
          <w:iCs/>
          <w:color w:val="0B1F3B"/>
          <w:sz w:val="26"/>
          <w:szCs w:val="26"/>
        </w:rPr>
        <w:t xml:space="preserve">A Full Dynamical Implementation of Quantum Evolution, and a Proof Strategy for the Quantum Emergence Theorem (OP-1)</w:t>
      </w:r>
    </w:p>
    <w:p>
      <w:pPr>
        <w:pBdr>
          <w:bottom w:val="single" w:color="C9A227" w:sz="10" w:space="4"/>
        </w:pBdr>
        <w:spacing w:after="200" w:before="200"/>
        <w:jc w:val="center"/>
      </w:pPr>
      <w:r>
        <w:rPr>
          <w:sz w:val="2"/>
          <w:szCs w:val="2"/>
        </w:rPr>
        <w:t xml:space="preserve"/>
      </w:r>
    </w:p>
    <w:p>
      <w:pPr>
        <w:spacing w:after="60" w:before="500"/>
        <w:jc w:val="center"/>
      </w:pPr>
      <w:r>
        <w:rPr>
          <w:rFonts w:ascii="Palatino Linotype" w:cs="Palatino Linotype" w:eastAsia="Palatino Linotype" w:hAnsi="Palatino Linotype"/>
          <w:b/>
          <w:bCs/>
          <w:color w:val="1A1A1A"/>
          <w:sz w:val="24"/>
          <w:szCs w:val="24"/>
        </w:rPr>
        <w:t xml:space="preserve">M. Brownlee</w:t>
      </w:r>
    </w:p>
    <w:p>
      <w:pPr>
        <w:spacing w:after="60"/>
        <w:jc w:val="center"/>
      </w:pPr>
      <w:r>
        <w:rPr>
          <w:rFonts w:ascii="Palatino Linotype" w:cs="Palatino Linotype" w:eastAsia="Palatino Linotype" w:hAnsi="Palatino Linotype"/>
          <w:i/>
          <w:iCs/>
          <w:color w:val="1A1A1A"/>
          <w:sz w:val="22"/>
          <w:szCs w:val="22"/>
        </w:rPr>
        <w:t xml:space="preserve">Dust LLC — Independent Theoretical Research</w:t>
      </w:r>
    </w:p>
    <w:p>
      <w:pPr>
        <w:spacing w:after="700"/>
        <w:jc w:val="center"/>
      </w:pPr>
      <w:r>
        <w:rPr>
          <w:rFonts w:ascii="Palatino Linotype" w:cs="Palatino Linotype" w:eastAsia="Palatino Linotype" w:hAnsi="Palatino Linotype"/>
          <w:color w:val="1A1A1A"/>
          <w:sz w:val="22"/>
          <w:szCs w:val="22"/>
        </w:rPr>
        <w:t xml:space="preserve">August 2026</w:t>
      </w:r>
    </w:p>
    <w:p>
      <w:pPr>
        <w:jc w:val="center"/>
      </w:pPr>
      <w:r>
        <w:rPr>
          <w:rFonts w:ascii="Palatino Linotype" w:cs="Palatino Linotype" w:eastAsia="Palatino Linotype" w:hAnsi="Palatino Linotype"/>
          <w:i/>
          <w:iCs/>
          <w:color w:val="6B6B6B"/>
          <w:sz w:val="18"/>
          <w:szCs w:val="18"/>
        </w:rPr>
        <w:t xml:space="preserve">Preprint. Internal working paper, Phase Mechanics series. Not peer reviewed.</w:t>
      </w:r>
    </w:p>
    <w:p>
      <w:r>
        <w:br w:type="page"/>
      </w:r>
    </w:p>
    <w:p>
      <w:pPr>
        <w:pStyle w:val="Heading1"/>
        <w:pBdr>
          <w:bottom w:val="single" w:color="C9A227" w:sz="6" w:space="6"/>
        </w:pBdr>
        <w:spacing w:after="220" w:before="480"/>
      </w:pPr>
      <w:r>
        <w:rPr>
          <w:rFonts w:ascii="Arial" w:cs="Arial" w:eastAsia="Arial" w:hAnsi="Arial"/>
          <w:b/>
          <w:bCs/>
          <w:color w:val="0B1F3B"/>
          <w:sz w:val="28"/>
          <w:szCs w:val="28"/>
        </w:rPr>
        <w:t xml:space="preserve">ABSTRACT</w:t>
      </w:r>
    </w:p>
    <w:p>
      <w:pPr>
        <w:spacing w:after="200" w:line="300"/>
        <w:jc w:val="both"/>
      </w:pPr>
      <w:r>
        <w:rPr>
          <w:rFonts w:ascii="Palatino Linotype" w:cs="Palatino Linotype" w:eastAsia="Palatino Linotype" w:hAnsi="Palatino Linotype"/>
          <w:color w:val="1A1A1A"/>
          <w:sz w:val="22"/>
          <w:szCs w:val="22"/>
        </w:rPr>
        <w:t xml:space="preserve">The Schrödinger equation specifies unitary, norm-conserving, closed-system phase evolution of a quantum state, but leaves the mechanisms of measurement, decoherence, and discrete outcome selection undetermined — importing them as external, structurally unrelated postulates: the projection postulate, the Lindblad master equation, and the Born rule. This paper constructs the Complete Phasefunction Equation, the governing law of the phaset introduced in PM-DECL-001, as the minimal completion of Schrödinger dynamics that determines those mechanisms intrinsically rather than by fiat.</w:t>
      </w:r>
    </w:p>
    <w:p>
      <w:pPr>
        <w:spacing w:after="200" w:line="300"/>
        <w:jc w:val="both"/>
      </w:pPr>
      <w:r>
        <w:rPr>
          <w:rFonts w:ascii="Palatino Linotype" w:cs="Palatino Linotype" w:eastAsia="Palatino Linotype" w:hAnsi="Palatino Linotype"/>
          <w:color w:val="1A1A1A"/>
          <w:sz w:val="22"/>
          <w:szCs w:val="22"/>
        </w:rPr>
        <w:t xml:space="preserve">We show that ordinary quantum mechanics is recovered exactly as the closed-sector, zero-dissipation stratum of the phasefunction bundle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(Theorem 1), and that measurement, decoherence, the Born rule, and thermodynamic irreversibility all emerge as structural consequences of the amplitude law and the instanton-weighted sector-transition law, rather than as independent axioms. This constitutes a candidate proof strategy for the Quantum Emergence Theorem (OP-1) and a candidate mechanism for the Classical Limit Theorem (OP-2), both open in PM-DECL-001, and is proposed here as PM-2 in the Phase Mechanics programme.</w:t>
      </w:r>
    </w:p>
    <w:p>
      <w:pPr>
        <w:pStyle w:val="Heading1"/>
        <w:pBdr>
          <w:bottom w:val="single" w:color="C9A227" w:sz="6" w:space="6"/>
        </w:pBdr>
        <w:spacing w:after="220" w:before="480"/>
      </w:pPr>
      <w:r>
        <w:rPr>
          <w:rFonts w:ascii="Arial" w:cs="Arial" w:eastAsia="Arial" w:hAnsi="Arial"/>
          <w:b/>
          <w:bCs/>
          <w:color w:val="0B1F3B"/>
          <w:sz w:val="28"/>
          <w:szCs w:val="28"/>
        </w:rPr>
        <w:t xml:space="preserve">NOTATION</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 the Phase Configuration Manifold: a stratified fiber bundle over the admissible topological sector lattice 𝓛.</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Φ = A e</w:t>
      </w:r>
      <w:r>
        <w:rPr>
          <w:rFonts w:ascii="Palatino Linotype" w:cs="Palatino Linotype" w:eastAsia="Palatino Linotype" w:hAnsi="Palatino Linotype"/>
          <w:b w:val="false"/>
          <w:bCs w:val="false"/>
          <w:i w:val="false"/>
          <w:iCs w:val="false"/>
          <w:color w:val="1A1A1A"/>
          <w:sz w:val="22"/>
          <w:szCs w:val="22"/>
          <w:vertAlign w:val="superscript"/>
        </w:rPr>
        <w:t xml:space="preserve">iθ</w:t>
      </w:r>
      <w:r>
        <w:rPr>
          <w:rFonts w:ascii="Palatino Linotype" w:cs="Palatino Linotype" w:eastAsia="Palatino Linotype" w:hAnsi="Palatino Linotype"/>
          <w:color w:val="1A1A1A"/>
          <w:sz w:val="22"/>
          <w:szCs w:val="22"/>
        </w:rPr>
        <w:t xml:space="preserve">, Ξ — the phaset: coherence amplitude A, substrate phase θ, topological sector Ξ ∈ 𝓛.</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𝓗[Φ] — the sector- and amplitude-dependent phase generator; reduces to a fixed Hamiltonian H on a closed sector.</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Γ[Ξ] — substrate coupling / intrinsic dissipation rate associated with sector Ξ.</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𝒟 — amplitude diffusion coefficient.</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[A,θ;Ξ→Ξ′] — instanton action connecting sector Ξ to sector Ξ′.</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λ</w:t>
      </w:r>
      <w:r>
        <w:rPr>
          <w:rFonts w:ascii="Palatino Linotype" w:cs="Palatino Linotype" w:eastAsia="Palatino Linotype" w:hAnsi="Palatino Linotype"/>
          <w:b w:val="false"/>
          <w:bCs w:val="false"/>
          <w:i w:val="false"/>
          <w:iCs w:val="false"/>
          <w:color w:val="1A1A1A"/>
          <w:sz w:val="22"/>
          <w:szCs w:val="22"/>
          <w:vertAlign w:val="subscript"/>
        </w:rPr>
        <w:t xml:space="preserve">0</w:t>
      </w:r>
      <w:r>
        <w:rPr>
          <w:rFonts w:ascii="Palatino Linotype" w:cs="Palatino Linotype" w:eastAsia="Palatino Linotype" w:hAnsi="Palatino Linotype"/>
          <w:color w:val="1A1A1A"/>
          <w:sz w:val="22"/>
          <w:szCs w:val="22"/>
        </w:rPr>
        <w:t xml:space="preserve"> — bare attempt frequency for sector transitions.</w:t>
      </w:r>
    </w:p>
    <w:p>
      <w:pPr>
        <w:pStyle w:val="Heading1"/>
        <w:pBdr>
          <w:bottom w:val="single" w:color="C9A227" w:sz="6" w:space="6"/>
        </w:pBdr>
        <w:spacing w:after="220" w:before="480"/>
      </w:pPr>
      <w:r>
        <w:rPr>
          <w:rFonts w:ascii="Arial" w:cs="Arial" w:eastAsia="Arial" w:hAnsi="Arial"/>
          <w:b/>
          <w:bCs/>
          <w:color w:val="0B1F3B"/>
          <w:sz w:val="28"/>
          <w:szCs w:val="28"/>
        </w:rPr>
        <w:t xml:space="preserve">1. INTRODUCTION</w:t>
      </w:r>
    </w:p>
    <w:p>
      <w:pPr>
        <w:pStyle w:val="Heading2"/>
        <w:spacing w:after="140" w:before="300"/>
      </w:pPr>
      <w:r>
        <w:rPr>
          <w:rFonts w:ascii="Arial" w:cs="Arial" w:eastAsia="Arial" w:hAnsi="Arial"/>
          <w:b/>
          <w:bCs/>
          <w:color w:val="0B1F3B"/>
          <w:sz w:val="23"/>
          <w:szCs w:val="23"/>
        </w:rPr>
        <w:t xml:space="preserve">1.1 The Historical Mandate</w:t>
      </w:r>
    </w:p>
    <w:p>
      <w:pPr>
        <w:spacing w:after="200" w:line="300"/>
        <w:jc w:val="both"/>
      </w:pPr>
      <w:r>
        <w:rPr>
          <w:rFonts w:ascii="Palatino Linotype" w:cs="Palatino Linotype" w:eastAsia="Palatino Linotype" w:hAnsi="Palatino Linotype"/>
          <w:color w:val="1A1A1A"/>
          <w:sz w:val="22"/>
          <w:szCs w:val="22"/>
        </w:rPr>
        <w:t xml:space="preserve">Schrödinger's 1926 equation was built to do one specific job: give a deterministic law for how a quantum state evolves in time, generalizing de Broglie's matter-wave hypothesis into a wave-mechanical analogue of Hamilton–Jacobi theory, and reproducing the observed discreteness of atomic energy levels as an eigenvalue problem. Judged against that mandate, the equation succeeds completely. Judged against the broader mandate quantum theory as a whole was built to satisfy — a complete account of how physical systems behave — it is structurally partial by construction, because it can only ever describe unitary, norm-conserving evolution in a fixed, closed representation space.</w:t>
      </w:r>
    </w:p>
    <w:p>
      <w:pPr>
        <w:pStyle w:val="Heading2"/>
        <w:spacing w:after="140" w:before="300"/>
      </w:pPr>
      <w:r>
        <w:rPr>
          <w:rFonts w:ascii="Arial" w:cs="Arial" w:eastAsia="Arial" w:hAnsi="Arial"/>
          <w:b/>
          <w:bCs/>
          <w:color w:val="0B1F3B"/>
          <w:sz w:val="23"/>
          <w:szCs w:val="23"/>
        </w:rPr>
        <w:t xml:space="preserve">1.2 Four Imported Postulates</w:t>
      </w:r>
    </w:p>
    <w:p>
      <w:pPr>
        <w:spacing w:after="200" w:line="300"/>
        <w:jc w:val="both"/>
      </w:pPr>
      <w:r>
        <w:rPr>
          <w:rFonts w:ascii="Palatino Linotype" w:cs="Palatino Linotype" w:eastAsia="Palatino Linotype" w:hAnsi="Palatino Linotype"/>
          <w:color w:val="1A1A1A"/>
          <w:sz w:val="22"/>
          <w:szCs w:val="22"/>
        </w:rPr>
        <w:t xml:space="preserve">Everything the bare equation iħ∂ₜΨ = ĤΨ does not supply has historically been imported as a separate, structurally unrelated postulate:</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(a) the Hilbert-space state space itself, together with the Born rule |Ψ|² for outcome probabilities — asserted, not derived from the dynamics;</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(b) the projection postulate governing measurement — a discontinuous, non-unitary update rule that contradicts the equation's own unitary evolution rather than extending it;</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(c) the Lindblad / GKSL master equation for open-system dissipation and decoherence — appended externally once a system is coupled to an unmodeled bath;</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(d) Fock-space second quantization for particle creation and annihilation — which abandons the single-particle formalism entirely rather than extending it.</w:t>
      </w:r>
    </w:p>
    <w:p>
      <w:pPr>
        <w:spacing w:after="200" w:line="300"/>
        <w:jc w:val="both"/>
      </w:pPr>
      <w:r>
        <w:rPr>
          <w:rFonts w:ascii="Palatino Linotype" w:cs="Palatino Linotype" w:eastAsia="Palatino Linotype" w:hAnsi="Palatino Linotype"/>
          <w:color w:val="1A1A1A"/>
          <w:sz w:val="22"/>
          <w:szCs w:val="22"/>
        </w:rPr>
        <w:t xml:space="preserve">(a) and (b) are in direct tension: one law is linear, deterministic, and time-reversible; the other is nonlinear, stochastic, and irreversible, and quantum theory has never specified which regimes each governs except by appeal to an undefined notion of "measurement." This is the measurement problem in its structural form, and it is a direct symptom of incompleteness rather than a deep fact about nature.</w:t>
      </w:r>
    </w:p>
    <w:p>
      <w:pPr>
        <w:pStyle w:val="Heading2"/>
        <w:spacing w:after="140" w:before="300"/>
      </w:pPr>
      <w:r>
        <w:rPr>
          <w:rFonts w:ascii="Arial" w:cs="Arial" w:eastAsia="Arial" w:hAnsi="Arial"/>
          <w:b/>
          <w:bCs/>
          <w:color w:val="0B1F3B"/>
          <w:sz w:val="23"/>
          <w:szCs w:val="23"/>
        </w:rPr>
        <w:t xml:space="preserve">1.3 Purpose and Scope</w:t>
      </w:r>
    </w:p>
    <w:p>
      <w:pPr>
        <w:spacing w:after="200" w:line="300"/>
        <w:jc w:val="both"/>
      </w:pPr>
      <w:r>
        <w:rPr>
          <w:rFonts w:ascii="Palatino Linotype" w:cs="Palatino Linotype" w:eastAsia="Palatino Linotype" w:hAnsi="Palatino Linotype"/>
          <w:color w:val="1A1A1A"/>
          <w:sz w:val="22"/>
          <w:szCs w:val="22"/>
        </w:rPr>
        <w:t xml:space="preserve">This paper constructs the minimal completion of Schrödinger dynamics within the existing Phase Mechanics formalism: the phaset Φ = (A, θ, Ξ) on the Phase Configuration Manifold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already introduced in PM-DECL-001, where the ordinary quantum state ("qubit") is identified as the phaset with frozen coherence amplitude and trivial topological sector. We give the governing law for the un-frozen phaset — the Complete Phasefunction Equation — show that it reduces exactly to Schrödinger's equation in the appropriate limit, and show that everything imported in §1.2 falls out of the same law rather than requiring separate postulates. The paper is proposed as PM-2 in the Phase Mechanics programme, positioned as a candidate proof strategy for the Quantum Emergence Theorem (OP-1) and a candidate mechanism for the Classical Limit Theorem (OP-2).</w:t>
      </w:r>
    </w:p>
    <w:p>
      <w:pPr>
        <w:pStyle w:val="Heading1"/>
        <w:pBdr>
          <w:bottom w:val="single" w:color="C9A227" w:sz="6" w:space="6"/>
        </w:pBdr>
        <w:spacing w:after="220" w:before="480"/>
      </w:pPr>
      <w:r>
        <w:rPr>
          <w:rFonts w:ascii="Arial" w:cs="Arial" w:eastAsia="Arial" w:hAnsi="Arial"/>
          <w:b/>
          <w:bCs/>
          <w:color w:val="0B1F3B"/>
          <w:sz w:val="28"/>
          <w:szCs w:val="28"/>
        </w:rPr>
        <w:t xml:space="preserve">2. PRELIMINARIES: THE PHASET FORMALISM</w:t>
      </w:r>
    </w:p>
    <w:p>
      <w:pPr>
        <w:spacing w:after="200" w:line="300"/>
        <w:jc w:val="both"/>
      </w:pPr>
      <w:r>
        <w:rPr>
          <w:rFonts w:ascii="Palatino Linotype" w:cs="Palatino Linotype" w:eastAsia="Palatino Linotype" w:hAnsi="Palatino Linotype"/>
          <w:color w:val="1A1A1A"/>
          <w:sz w:val="22"/>
          <w:szCs w:val="22"/>
        </w:rPr>
        <w:t xml:space="preserve">This section recapitulates, for self-containedness, the formalism established in PM-DECL-001. The canonical state variable of Phase Mechanics is the phasefunction Φ = (A, θ, Ξ): a coherence amplitude A, a substrate phase θ, and a topological sector Ξ. Φ evolves on the Phase Configuration Manifold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formalized as a stratified fiber bundle: the base is the admissible topological-sector lattice 𝓛, and the fiber over each Ξ ∈ 𝓛 is the amplitude–phase configuration space (A, θ) available to that sector.</w:t>
      </w:r>
    </w:p>
    <w:p>
      <w:pPr>
        <w:spacing w:after="200" w:line="300"/>
        <w:jc w:val="both"/>
      </w:pPr>
      <w:r>
        <w:rPr>
          <w:rFonts w:ascii="Palatino Linotype" w:cs="Palatino Linotype" w:eastAsia="Palatino Linotype" w:hAnsi="Palatino Linotype"/>
          <w:color w:val="1A1A1A"/>
          <w:sz w:val="22"/>
          <w:szCs w:val="22"/>
        </w:rPr>
        <w:t xml:space="preserve">A reduction map π sends a phaset on the trivial-sector stratum to an ordinary Hilbert-space vector: π(Φ)|</w:t>
      </w:r>
      <w:r>
        <w:rPr>
          <w:rFonts w:ascii="Palatino Linotype" w:cs="Palatino Linotype" w:eastAsia="Palatino Linotype" w:hAnsi="Palatino Linotype"/>
          <w:b w:val="false"/>
          <w:bCs w:val="false"/>
          <w:i w:val="false"/>
          <w:iCs w:val="false"/>
          <w:color w:val="1A1A1A"/>
          <w:sz w:val="22"/>
          <w:szCs w:val="22"/>
          <w:vertAlign w:val="subscript"/>
        </w:rPr>
        <w:t xml:space="preserve">Ξ=Ξ₀</w:t>
      </w:r>
      <w:r>
        <w:rPr>
          <w:rFonts w:ascii="Palatino Linotype" w:cs="Palatino Linotype" w:eastAsia="Palatino Linotype" w:hAnsi="Palatino Linotype"/>
          <w:color w:val="1A1A1A"/>
          <w:sz w:val="22"/>
          <w:szCs w:val="22"/>
        </w:rPr>
        <w:t xml:space="preserve"> = A e</w:t>
      </w:r>
      <w:r>
        <w:rPr>
          <w:rFonts w:ascii="Palatino Linotype" w:cs="Palatino Linotype" w:eastAsia="Palatino Linotype" w:hAnsi="Palatino Linotype"/>
          <w:b w:val="false"/>
          <w:bCs w:val="false"/>
          <w:i w:val="false"/>
          <w:iCs w:val="false"/>
          <w:color w:val="1A1A1A"/>
          <w:sz w:val="22"/>
          <w:szCs w:val="22"/>
          <w:vertAlign w:val="superscript"/>
        </w:rPr>
        <w:t xml:space="preserve">iθ</w:t>
      </w:r>
      <w:r>
        <w:rPr>
          <w:rFonts w:ascii="Palatino Linotype" w:cs="Palatino Linotype" w:eastAsia="Palatino Linotype" w:hAnsi="Palatino Linotype"/>
          <w:color w:val="1A1A1A"/>
          <w:sz w:val="22"/>
          <w:szCs w:val="22"/>
        </w:rPr>
        <w:t xml:space="preserve"> ≡ Ψ. The qubit — the object standard quantum mechanics takes as primitive — was already identified in PM-DECL-001 as exactly this image: the phaset with frozen coherence amplitude (∂ₜA ≡ 0) and trivial topological sector (Ξ ≡ Ξ₀, no admissible transitions). Standard quantum mechanics, and Schrödinger's equation with it, is therefore not a separate theory to be reconciled with Phase Mechanics; it is the image of π restricted to a single, measure-thin stratum of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The task of this paper is to give the dynamics on the rest of the bundle.</w:t>
      </w:r>
    </w:p>
    <w:p>
      <w:pPr>
        <w:pStyle w:val="Heading1"/>
        <w:pBdr>
          <w:bottom w:val="single" w:color="C9A227" w:sz="6" w:space="6"/>
        </w:pBdr>
        <w:spacing w:after="220" w:before="480"/>
      </w:pPr>
      <w:r>
        <w:rPr>
          <w:rFonts w:ascii="Arial" w:cs="Arial" w:eastAsia="Arial" w:hAnsi="Arial"/>
          <w:b/>
          <w:bCs/>
          <w:color w:val="0B1F3B"/>
          <w:sz w:val="28"/>
          <w:szCs w:val="28"/>
        </w:rPr>
        <w:t xml:space="preserve">3. THE COMPLETE PHASEFUNCTION EQUATION</w:t>
      </w:r>
    </w:p>
    <w:p>
      <w:pPr>
        <w:spacing w:after="200" w:line="300"/>
        <w:jc w:val="both"/>
      </w:pPr>
      <w:r>
        <w:rPr>
          <w:rFonts w:ascii="Palatino Linotype" w:cs="Palatino Linotype" w:eastAsia="Palatino Linotype" w:hAnsi="Palatino Linotype"/>
          <w:color w:val="1A1A1A"/>
          <w:sz w:val="22"/>
          <w:szCs w:val="22"/>
        </w:rPr>
        <w:t xml:space="preserve">Three coupled laws replace the single scalar Schrödinger law, one for each component of the phaset.</w:t>
      </w:r>
    </w:p>
    <w:p>
      <w:pPr>
        <w:pStyle w:val="Heading2"/>
        <w:spacing w:after="140" w:before="300"/>
      </w:pPr>
      <w:r>
        <w:rPr>
          <w:rFonts w:ascii="Arial" w:cs="Arial" w:eastAsia="Arial" w:hAnsi="Arial"/>
          <w:b/>
          <w:bCs/>
          <w:color w:val="0B1F3B"/>
          <w:sz w:val="23"/>
          <w:szCs w:val="23"/>
        </w:rPr>
        <w:t xml:space="preserve">3.1 Phase Law</w:t>
      </w:r>
    </w:p>
    <w:p>
      <w:pPr>
        <w:spacing w:after="200" w:line="300"/>
        <w:jc w:val="both"/>
      </w:pPr>
      <w:r>
        <w:rPr>
          <w:rFonts w:ascii="Palatino Linotype" w:cs="Palatino Linotype" w:eastAsia="Palatino Linotype" w:hAnsi="Palatino Linotype"/>
          <w:color w:val="1A1A1A"/>
          <w:sz w:val="22"/>
          <w:szCs w:val="22"/>
        </w:rPr>
        <w:t xml:space="preserve">The phase law generalizes the Hamilton–Jacobi structure already present in ordinary quantum mechanics, but with a generator that is itself sector- and amplitude-dependent rather than a fixed external operator:</w:t>
      </w:r>
    </w:p>
    <w:p>
      <w:pPr>
        <w:pBdr>
          <w:top w:val="single" w:color="C9A227" w:sz="4" w:space="8"/>
          <w:bottom w:val="single" w:color="C9A227" w:sz="4" w:space="8"/>
          <w:left w:val="single" w:color="C9A227" w:sz="4" w:space="8"/>
          <w:right w:val="single" w:color="C9A227" w:sz="4" w:space="8"/>
        </w:pBdr>
        <w:shd w:fill="081527" w:color="auto" w:val="clear"/>
        <w:tabs>
          <w:tab w:val="right" w:pos="9140"/>
        </w:tabs>
        <w:spacing w:after="160" w:before="160"/>
        <w:ind w:left="260" w:right="260"/>
        <w:jc w:val="left"/>
      </w:pPr>
      <w:r>
        <w:rPr>
          <w:rFonts w:ascii="Consolas" w:cs="Consolas" w:eastAsia="Consolas" w:hAnsi="Consolas"/>
          <w:color w:val="F3E6C4"/>
          <w:sz w:val="22"/>
          <w:szCs w:val="22"/>
        </w:rPr>
        <w:t xml:space="preserve">ħ ∂θ/∂t  =  −𝓗[A, θ, Ξ]</w:t>
      </w:r>
      <w:r>
        <w:rPr>
          <w:rFonts w:ascii="Consolas" w:cs="Consolas" w:eastAsia="Consolas" w:hAnsi="Consolas"/>
          <w:color w:val="C9A227"/>
          <w:sz w:val="18"/>
          <w:szCs w:val="18"/>
        </w:rPr>
        <w:t xml:space="preserve">	(I)</w:t>
      </w:r>
    </w:p>
    <w:p>
      <w:pPr>
        <w:pStyle w:val="Heading2"/>
        <w:spacing w:after="140" w:before="300"/>
      </w:pPr>
      <w:r>
        <w:rPr>
          <w:rFonts w:ascii="Arial" w:cs="Arial" w:eastAsia="Arial" w:hAnsi="Arial"/>
          <w:b/>
          <w:bCs/>
          <w:color w:val="0B1F3B"/>
          <w:sz w:val="23"/>
          <w:szCs w:val="23"/>
        </w:rPr>
        <w:t xml:space="preserve">3.2 Amplitude Law</w:t>
      </w:r>
    </w:p>
    <w:p>
      <w:pPr>
        <w:spacing w:after="200" w:line="300"/>
        <w:jc w:val="both"/>
      </w:pPr>
      <w:r>
        <w:rPr>
          <w:rFonts w:ascii="Palatino Linotype" w:cs="Palatino Linotype" w:eastAsia="Palatino Linotype" w:hAnsi="Palatino Linotype"/>
          <w:color w:val="1A1A1A"/>
          <w:sz w:val="22"/>
          <w:szCs w:val="22"/>
        </w:rPr>
        <w:t xml:space="preserve">The amplitude law is the intrinsic dissipation channel — the piece the Lindblad equation has always had to import from an unmodeled bath:</w:t>
      </w:r>
    </w:p>
    <w:p>
      <w:pPr>
        <w:pBdr>
          <w:top w:val="single" w:color="C9A227" w:sz="4" w:space="8"/>
          <w:bottom w:val="single" w:color="C9A227" w:sz="4" w:space="8"/>
          <w:left w:val="single" w:color="C9A227" w:sz="4" w:space="8"/>
          <w:right w:val="single" w:color="C9A227" w:sz="4" w:space="8"/>
        </w:pBdr>
        <w:shd w:fill="081527" w:color="auto" w:val="clear"/>
        <w:tabs>
          <w:tab w:val="right" w:pos="9140"/>
        </w:tabs>
        <w:spacing w:after="160" w:before="160"/>
        <w:ind w:left="260" w:right="260"/>
        <w:jc w:val="left"/>
      </w:pPr>
      <w:r>
        <w:rPr>
          <w:rFonts w:ascii="Consolas" w:cs="Consolas" w:eastAsia="Consolas" w:hAnsi="Consolas"/>
          <w:color w:val="F3E6C4"/>
          <w:sz w:val="22"/>
          <w:szCs w:val="22"/>
        </w:rPr>
        <w:t xml:space="preserve">ħ ∂A/∂t  =  −Γ[Ξ](x,t) · A  +  ħ 𝒟 ∇²A</w:t>
      </w:r>
      <w:r>
        <w:rPr>
          <w:rFonts w:ascii="Consolas" w:cs="Consolas" w:eastAsia="Consolas" w:hAnsi="Consolas"/>
          <w:color w:val="C9A227"/>
          <w:sz w:val="18"/>
          <w:szCs w:val="18"/>
        </w:rPr>
        <w:t xml:space="preserve">	(II)</w:t>
      </w:r>
    </w:p>
    <w:p>
      <w:pPr>
        <w:spacing w:after="200" w:line="300"/>
        <w:jc w:val="both"/>
      </w:pPr>
      <w:r>
        <w:rPr>
          <w:rFonts w:ascii="Palatino Linotype" w:cs="Palatino Linotype" w:eastAsia="Palatino Linotype" w:hAnsi="Palatino Linotype"/>
          <w:color w:val="1A1A1A"/>
          <w:sz w:val="22"/>
          <w:szCs w:val="22"/>
        </w:rPr>
        <w:t xml:space="preserve">Γ is the phaset's coupling to its own substrate: it vanishes exactly when the sector Ξ is dynamically closed, recovering |Ψ|² = const — ordinary unitary evolution — and is nonzero whenever the phaset is substrate-coupled, i.e. open or under measurement. Because Γ and the generator 𝓗 in (I) are both functionals of the same Φ, decoherence is read off the state itself rather than supplied by an external bath postulate. The diffusion term 𝒟∇²A allows coherence to redistribute across configuration space without being lost from the sector, distinguishing ordinary spreading from genuine dissipation.</w:t>
      </w:r>
    </w:p>
    <w:p>
      <w:pPr>
        <w:pStyle w:val="Heading2"/>
        <w:spacing w:after="140" w:before="300"/>
      </w:pPr>
      <w:r>
        <w:rPr>
          <w:rFonts w:ascii="Arial" w:cs="Arial" w:eastAsia="Arial" w:hAnsi="Arial"/>
          <w:b/>
          <w:bCs/>
          <w:color w:val="0B1F3B"/>
          <w:sz w:val="23"/>
          <w:szCs w:val="23"/>
        </w:rPr>
        <w:t xml:space="preserve">3.3 Sector Law</w:t>
      </w:r>
    </w:p>
    <w:p>
      <w:pPr>
        <w:spacing w:after="200" w:line="300"/>
        <w:jc w:val="both"/>
      </w:pPr>
      <w:r>
        <w:rPr>
          <w:rFonts w:ascii="Palatino Linotype" w:cs="Palatino Linotype" w:eastAsia="Palatino Linotype" w:hAnsi="Palatino Linotype"/>
          <w:color w:val="1A1A1A"/>
          <w:sz w:val="22"/>
          <w:szCs w:val="22"/>
        </w:rPr>
        <w:t xml:space="preserve">The sector law is discrete and stochastic, and is where measurement outcomes, discrete state selection, and particle creation or annihilation actually live. A transition Ξ → Ξ′ is a Poisson-type jump process with intensity</w:t>
      </w:r>
    </w:p>
    <w:p>
      <w:pPr>
        <w:pBdr>
          <w:top w:val="single" w:color="C9A227" w:sz="4" w:space="8"/>
          <w:bottom w:val="single" w:color="C9A227" w:sz="4" w:space="8"/>
          <w:left w:val="single" w:color="C9A227" w:sz="4" w:space="8"/>
          <w:right w:val="single" w:color="C9A227" w:sz="4" w:space="8"/>
        </w:pBdr>
        <w:shd w:fill="081527" w:color="auto" w:val="clear"/>
        <w:tabs>
          <w:tab w:val="right" w:pos="9140"/>
        </w:tabs>
        <w:spacing w:after="160" w:before="160"/>
        <w:ind w:left="260" w:right="260"/>
        <w:jc w:val="left"/>
      </w:pPr>
      <w:r>
        <w:rPr>
          <w:rFonts w:ascii="Consolas" w:cs="Consolas" w:eastAsia="Consolas" w:hAnsi="Consolas"/>
          <w:color w:val="F3E6C4"/>
          <w:sz w:val="22"/>
          <w:szCs w:val="22"/>
        </w:rPr>
        <w:t xml:space="preserve">λ(Ξ→Ξ′)  =  λ</w:t>
      </w:r>
      <w:r>
        <w:rPr>
          <w:rFonts w:ascii="Consolas" w:cs="Consolas" w:eastAsia="Consolas" w:hAnsi="Consolas"/>
          <w:color w:val="F3E6C4"/>
          <w:sz w:val="21"/>
          <w:szCs w:val="21"/>
          <w:vertAlign w:val="subscript"/>
        </w:rPr>
        <w:t xml:space="preserve">0</w:t>
      </w:r>
      <w:r>
        <w:rPr>
          <w:rFonts w:ascii="Consolas" w:cs="Consolas" w:eastAsia="Consolas" w:hAnsi="Consolas"/>
          <w:color w:val="F3E6C4"/>
          <w:sz w:val="22"/>
          <w:szCs w:val="22"/>
        </w:rPr>
        <w:t xml:space="preserve"> · exp( −S</w:t>
      </w:r>
      <w:r>
        <w:rPr>
          <w:rFonts w:ascii="Consolas" w:cs="Consolas" w:eastAsia="Consolas" w:hAnsi="Consolas"/>
          <w:color w:val="F3E6C4"/>
          <w:sz w:val="21"/>
          <w:szCs w:val="21"/>
          <w:vertAlign w:val="subscript"/>
        </w:rPr>
        <w:t xml:space="preserve">inst</w:t>
      </w:r>
      <w:r>
        <w:rPr>
          <w:rFonts w:ascii="Consolas" w:cs="Consolas" w:eastAsia="Consolas" w:hAnsi="Consolas"/>
          <w:color w:val="F3E6C4"/>
          <w:sz w:val="22"/>
          <w:szCs w:val="22"/>
        </w:rPr>
        <w:t xml:space="preserve">[A,θ;Ξ→Ξ′] / ħ )</w:t>
      </w:r>
      <w:r>
        <w:rPr>
          <w:rFonts w:ascii="Consolas" w:cs="Consolas" w:eastAsia="Consolas" w:hAnsi="Consolas"/>
          <w:color w:val="C9A227"/>
          <w:sz w:val="18"/>
          <w:szCs w:val="18"/>
        </w:rPr>
        <w:t xml:space="preserve">	(III)</w:t>
      </w:r>
    </w:p>
    <w:p>
      <w:pPr>
        <w:spacing w:after="200" w:line="300"/>
        <w:jc w:val="both"/>
      </w:pPr>
      <w:r>
        <w:rPr>
          <w:rFonts w:ascii="Palatino Linotype" w:cs="Palatino Linotype" w:eastAsia="Palatino Linotype" w:hAnsi="Palatino Linotype"/>
          <w:color w:val="1A1A1A"/>
          <w:sz w:val="22"/>
          <w:szCs w:val="22"/>
        </w:rPr>
        <w:t xml:space="preserve">with 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 the instanton action connecting the two sectors — the same construction used for anti-instantons in the negative-time extension of Phase Theory. A sector transition is a literal, dynamical event with a computable rate, not an axiom invoked when an observer is present.</w:t>
      </w:r>
    </w:p>
    <w:p>
      <w:pPr>
        <w:pStyle w:val="Heading2"/>
        <w:spacing w:after="140" w:before="300"/>
      </w:pPr>
      <w:r>
        <w:rPr>
          <w:rFonts w:ascii="Arial" w:cs="Arial" w:eastAsia="Arial" w:hAnsi="Arial"/>
          <w:b/>
          <w:bCs/>
          <w:color w:val="0B1F3B"/>
          <w:sz w:val="23"/>
          <w:szCs w:val="23"/>
        </w:rPr>
        <w:t xml:space="preserve">3.4 Unified Generator</w:t>
      </w:r>
    </w:p>
    <w:p>
      <w:pPr>
        <w:spacing w:after="200" w:line="300"/>
        <w:jc w:val="both"/>
      </w:pPr>
      <w:r>
        <w:rPr>
          <w:rFonts w:ascii="Palatino Linotype" w:cs="Palatino Linotype" w:eastAsia="Palatino Linotype" w:hAnsi="Palatino Linotype"/>
          <w:color w:val="1A1A1A"/>
          <w:sz w:val="22"/>
          <w:szCs w:val="22"/>
        </w:rPr>
        <w:t xml:space="preserve">Collecting (I)–(III) into a single hybrid deterministic–stochastic law on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w:t>
      </w:r>
    </w:p>
    <w:p>
      <w:pPr>
        <w:pBdr>
          <w:top w:val="single" w:color="C9A227" w:sz="4" w:space="8"/>
          <w:bottom w:val="single" w:color="C9A227" w:sz="4" w:space="8"/>
          <w:left w:val="single" w:color="C9A227" w:sz="4" w:space="8"/>
          <w:right w:val="single" w:color="C9A227" w:sz="4" w:space="8"/>
        </w:pBdr>
        <w:shd w:fill="081527" w:color="auto" w:val="clear"/>
        <w:spacing w:after="160" w:before="160"/>
        <w:ind w:left="260" w:right="260"/>
        <w:jc w:val="left"/>
      </w:pPr>
      <w:r>
        <w:rPr>
          <w:rFonts w:ascii="Consolas" w:cs="Consolas" w:eastAsia="Consolas" w:hAnsi="Consolas"/>
          <w:color w:val="F3E6C4"/>
          <w:sz w:val="22"/>
          <w:szCs w:val="22"/>
        </w:rPr>
        <w:t xml:space="preserve">D</w:t>
      </w:r>
      <w:r>
        <w:rPr>
          <w:rFonts w:ascii="Consolas" w:cs="Consolas" w:eastAsia="Consolas" w:hAnsi="Consolas"/>
          <w:color w:val="F3E6C4"/>
          <w:sz w:val="21"/>
          <w:szCs w:val="21"/>
          <w:vertAlign w:val="subscript"/>
        </w:rPr>
        <w:t xml:space="preserve">t</w:t>
      </w:r>
      <w:r>
        <w:rPr>
          <w:rFonts w:ascii="Consolas" w:cs="Consolas" w:eastAsia="Consolas" w:hAnsi="Consolas"/>
          <w:color w:val="F3E6C4"/>
          <w:sz w:val="22"/>
          <w:szCs w:val="22"/>
        </w:rPr>
        <w:t xml:space="preserve">Φ  =  −(i/ħ) 𝓗[Φ]Φ  −  Γ[Ξ]Φ  +  𝒥</w:t>
      </w:r>
      <w:r>
        <w:rPr>
          <w:rFonts w:ascii="Consolas" w:cs="Consolas" w:eastAsia="Consolas" w:hAnsi="Consolas"/>
          <w:color w:val="F3E6C4"/>
          <w:sz w:val="21"/>
          <w:szCs w:val="21"/>
          <w:vertAlign w:val="subscript"/>
        </w:rPr>
        <w:t xml:space="preserve">Ξ→Ξ′</w:t>
      </w:r>
      <w:r>
        <w:rPr>
          <w:rFonts w:ascii="Consolas" w:cs="Consolas" w:eastAsia="Consolas" w:hAnsi="Consolas"/>
          <w:color w:val="F3E6C4"/>
          <w:sz w:val="22"/>
          <w:szCs w:val="22"/>
        </w:rPr>
        <w:t xml:space="preserve">(Φ) dN</w:t>
      </w:r>
      <w:r>
        <w:rPr>
          <w:rFonts w:ascii="Consolas" w:cs="Consolas" w:eastAsia="Consolas" w:hAnsi="Consolas"/>
          <w:color w:val="F3E6C4"/>
          <w:sz w:val="21"/>
          <w:szCs w:val="21"/>
          <w:vertAlign w:val="subscript"/>
        </w:rPr>
        <w:t xml:space="preserve">Ξ</w:t>
      </w:r>
    </w:p>
    <w:p>
      <w:pPr>
        <w:spacing w:after="200" w:line="300"/>
        <w:jc w:val="both"/>
      </w:pPr>
      <w:r>
        <w:rPr>
          <w:rFonts w:ascii="Palatino Linotype" w:cs="Palatino Linotype" w:eastAsia="Palatino Linotype" w:hAnsi="Palatino Linotype"/>
          <w:color w:val="1A1A1A"/>
          <w:sz w:val="22"/>
          <w:szCs w:val="22"/>
        </w:rPr>
        <w:t xml:space="preserve">where dN</w:t>
      </w:r>
      <w:r>
        <w:rPr>
          <w:rFonts w:ascii="Palatino Linotype" w:cs="Palatino Linotype" w:eastAsia="Palatino Linotype" w:hAnsi="Palatino Linotype"/>
          <w:b w:val="false"/>
          <w:bCs w:val="false"/>
          <w:i w:val="false"/>
          <w:iCs w:val="false"/>
          <w:color w:val="1A1A1A"/>
          <w:sz w:val="22"/>
          <w:szCs w:val="22"/>
          <w:vertAlign w:val="subscript"/>
        </w:rPr>
        <w:t xml:space="preserve">Ξ</w:t>
      </w:r>
      <w:r>
        <w:rPr>
          <w:rFonts w:ascii="Palatino Linotype" w:cs="Palatino Linotype" w:eastAsia="Palatino Linotype" w:hAnsi="Palatino Linotype"/>
          <w:color w:val="1A1A1A"/>
          <w:sz w:val="22"/>
          <w:szCs w:val="22"/>
        </w:rPr>
        <w:t xml:space="preserve"> is the counting-process increment associated with (III) and 𝒥 is the jump map sending Φ to its image on the target sector. This places the Complete Phasefunction Equation in the same broad family as stochastic Schrödinger equations and unravelled Lindblad trajectories — with the difference, developed in §5 and §8, that the jump term here is topological in origin and its rate is derived rather than fit.</w:t>
      </w:r>
    </w:p>
    <w:p>
      <w:pPr>
        <w:pStyle w:val="Heading1"/>
        <w:pBdr>
          <w:bottom w:val="single" w:color="C9A227" w:sz="6" w:space="6"/>
        </w:pBdr>
        <w:spacing w:after="220" w:before="480"/>
      </w:pPr>
      <w:r>
        <w:rPr>
          <w:rFonts w:ascii="Arial" w:cs="Arial" w:eastAsia="Arial" w:hAnsi="Arial"/>
          <w:b/>
          <w:bCs/>
          <w:color w:val="0B1F3B"/>
          <w:sz w:val="28"/>
          <w:szCs w:val="28"/>
        </w:rPr>
        <w:t xml:space="preserve">4. REDUCTION THEOREM: RECOVERING SCHRÖDINGER'S EQUATION</w:t>
      </w:r>
    </w:p>
    <w:p>
      <w:pPr>
        <w:pStyle w:val="Heading2"/>
        <w:spacing w:after="140" w:before="300"/>
      </w:pPr>
      <w:r>
        <w:rPr>
          <w:rFonts w:ascii="Arial" w:cs="Arial" w:eastAsia="Arial" w:hAnsi="Arial"/>
          <w:b/>
          <w:bCs/>
          <w:color w:val="0B1F3B"/>
          <w:sz w:val="23"/>
          <w:szCs w:val="23"/>
        </w:rPr>
        <w:t xml:space="preserve">4.1 The Closed-Sector Limit</w:t>
      </w:r>
    </w:p>
    <w:p>
      <w:pPr>
        <w:spacing w:after="200" w:line="300"/>
        <w:jc w:val="both"/>
      </w:pPr>
      <w:r>
        <w:rPr>
          <w:rFonts w:ascii="Palatino Linotype" w:cs="Palatino Linotype" w:eastAsia="Palatino Linotype" w:hAnsi="Palatino Linotype"/>
          <w:color w:val="1A1A1A"/>
          <w:sz w:val="22"/>
          <w:szCs w:val="22"/>
        </w:rPr>
        <w:t xml:space="preserve">Set Γ[Ξ] ≡ 0, 𝒟 ≡ 0, and dN</w:t>
      </w:r>
      <w:r>
        <w:rPr>
          <w:rFonts w:ascii="Palatino Linotype" w:cs="Palatino Linotype" w:eastAsia="Palatino Linotype" w:hAnsi="Palatino Linotype"/>
          <w:b w:val="false"/>
          <w:bCs w:val="false"/>
          <w:i w:val="false"/>
          <w:iCs w:val="false"/>
          <w:color w:val="1A1A1A"/>
          <w:sz w:val="22"/>
          <w:szCs w:val="22"/>
          <w:vertAlign w:val="subscript"/>
        </w:rPr>
        <w:t xml:space="preserve">Ξ</w:t>
      </w:r>
      <w:r>
        <w:rPr>
          <w:rFonts w:ascii="Palatino Linotype" w:cs="Palatino Linotype" w:eastAsia="Palatino Linotype" w:hAnsi="Palatino Linotype"/>
          <w:color w:val="1A1A1A"/>
          <w:sz w:val="22"/>
          <w:szCs w:val="22"/>
        </w:rPr>
        <w:t xml:space="preserve"> ≡ 0 — a dynamically closed sector with no substrate coupling and no admissible transitions. This is precisely the frozen-amplitude, trivial-sector stratum already identified with the ordinary qubit in §2.</w:t>
      </w:r>
    </w:p>
    <w:p>
      <w:pPr>
        <w:pStyle w:val="Heading2"/>
        <w:spacing w:after="140" w:before="300"/>
      </w:pPr>
      <w:r>
        <w:rPr>
          <w:rFonts w:ascii="Arial" w:cs="Arial" w:eastAsia="Arial" w:hAnsi="Arial"/>
          <w:b/>
          <w:bCs/>
          <w:color w:val="0B1F3B"/>
          <w:sz w:val="23"/>
          <w:szCs w:val="23"/>
        </w:rPr>
        <w:t xml:space="preserve">4.2 Theorem 1 and Proof Sketch</w:t>
      </w:r>
    </w:p>
    <w:p>
      <w:pPr>
        <w:pBdr>
          <w:left w:val="single" w:color="0B1F3B" w:sz="18" w:space="10"/>
        </w:pBdr>
        <w:shd w:fill="F4F1E8" w:color="auto" w:val="clear"/>
        <w:spacing w:after="220" w:before="180"/>
        <w:ind w:left="260" w:right="260"/>
      </w:pPr>
      <w:r>
        <w:rPr>
          <w:rFonts w:ascii="Arial" w:cs="Arial" w:eastAsia="Arial" w:hAnsi="Arial"/>
          <w:b/>
          <w:bCs/>
          <w:color w:val="0B1F3B"/>
          <w:sz w:val="21"/>
          <w:szCs w:val="21"/>
        </w:rPr>
        <w:t xml:space="preserve">Theorem 1 (Schrödinger Recovery).  </w:t>
      </w:r>
      <w:r>
        <w:rPr>
          <w:rFonts w:ascii="Palatino Linotype" w:cs="Palatino Linotype" w:eastAsia="Palatino Linotype" w:hAnsi="Palatino Linotype"/>
          <w:i/>
          <w:iCs/>
          <w:color w:val="1A1A1A"/>
          <w:sz w:val="21"/>
          <w:szCs w:val="21"/>
        </w:rPr>
        <w:t xml:space="preserve">Let Φ = A e</w:t>
      </w:r>
      <w:r>
        <w:rPr>
          <w:rFonts w:ascii="Palatino Linotype" w:cs="Palatino Linotype" w:eastAsia="Palatino Linotype" w:hAnsi="Palatino Linotype"/>
          <w:i/>
          <w:iCs/>
          <w:color w:val="1A1A1A"/>
          <w:sz w:val="21"/>
          <w:szCs w:val="21"/>
          <w:vertAlign w:val="superscript"/>
        </w:rPr>
        <w:t xml:space="preserve">iθ</w:t>
      </w:r>
      <w:r>
        <w:rPr>
          <w:rFonts w:ascii="Palatino Linotype" w:cs="Palatino Linotype" w:eastAsia="Palatino Linotype" w:hAnsi="Palatino Linotype"/>
          <w:i/>
          <w:iCs/>
          <w:color w:val="1A1A1A"/>
          <w:sz w:val="21"/>
          <w:szCs w:val="21"/>
        </w:rPr>
        <w:t xml:space="preserve"> evolve under the Complete Phasefunction Equation restricted to a fixed sector Ξ₀ with Γ[Ξ₀] ≡ 0. Then Ψ ≡ Φ satisfies iħ∂ₜΨ = 𝓗Ψ exactly, with 𝓗 ≡ 𝓗[A,θ,Ξ₀] playing the role of the ordinary Hamiltonian Ĥ.</w:t>
      </w:r>
    </w:p>
    <w:p>
      <w:pPr>
        <w:spacing w:after="200" w:line="300"/>
        <w:jc w:val="both"/>
      </w:pPr>
      <w:r>
        <w:rPr>
          <w:rFonts w:ascii="Palatino Linotype" w:cs="Palatino Linotype" w:eastAsia="Palatino Linotype" w:hAnsi="Palatino Linotype"/>
          <w:color w:val="1A1A1A"/>
          <w:sz w:val="22"/>
          <w:szCs w:val="22"/>
        </w:rPr>
        <w:t xml:space="preserve">Proof sketch. Write Ψ = A e</w:t>
      </w:r>
      <w:r>
        <w:rPr>
          <w:rFonts w:ascii="Palatino Linotype" w:cs="Palatino Linotype" w:eastAsia="Palatino Linotype" w:hAnsi="Palatino Linotype"/>
          <w:b w:val="false"/>
          <w:bCs w:val="false"/>
          <w:i w:val="false"/>
          <w:iCs w:val="false"/>
          <w:color w:val="1A1A1A"/>
          <w:sz w:val="22"/>
          <w:szCs w:val="22"/>
          <w:vertAlign w:val="superscript"/>
        </w:rPr>
        <w:t xml:space="preserve">iθ</w:t>
      </w:r>
      <w:r>
        <w:rPr>
          <w:rFonts w:ascii="Palatino Linotype" w:cs="Palatino Linotype" w:eastAsia="Palatino Linotype" w:hAnsi="Palatino Linotype"/>
          <w:color w:val="1A1A1A"/>
          <w:sz w:val="22"/>
          <w:szCs w:val="22"/>
        </w:rPr>
        <w:t xml:space="preserve">, so ∂ₜΨ = (∂ₜA) e</w:t>
      </w:r>
      <w:r>
        <w:rPr>
          <w:rFonts w:ascii="Palatino Linotype" w:cs="Palatino Linotype" w:eastAsia="Palatino Linotype" w:hAnsi="Palatino Linotype"/>
          <w:b w:val="false"/>
          <w:bCs w:val="false"/>
          <w:i w:val="false"/>
          <w:iCs w:val="false"/>
          <w:color w:val="1A1A1A"/>
          <w:sz w:val="22"/>
          <w:szCs w:val="22"/>
          <w:vertAlign w:val="superscript"/>
        </w:rPr>
        <w:t xml:space="preserve">iθ</w:t>
      </w:r>
      <w:r>
        <w:rPr>
          <w:rFonts w:ascii="Palatino Linotype" w:cs="Palatino Linotype" w:eastAsia="Palatino Linotype" w:hAnsi="Palatino Linotype"/>
          <w:color w:val="1A1A1A"/>
          <w:sz w:val="22"/>
          <w:szCs w:val="22"/>
        </w:rPr>
        <w:t xml:space="preserve"> + i A e</w:t>
      </w:r>
      <w:r>
        <w:rPr>
          <w:rFonts w:ascii="Palatino Linotype" w:cs="Palatino Linotype" w:eastAsia="Palatino Linotype" w:hAnsi="Palatino Linotype"/>
          <w:b w:val="false"/>
          <w:bCs w:val="false"/>
          <w:i w:val="false"/>
          <w:iCs w:val="false"/>
          <w:color w:val="1A1A1A"/>
          <w:sz w:val="22"/>
          <w:szCs w:val="22"/>
          <w:vertAlign w:val="superscript"/>
        </w:rPr>
        <w:t xml:space="preserve">iθ</w:t>
      </w:r>
      <w:r>
        <w:rPr>
          <w:rFonts w:ascii="Palatino Linotype" w:cs="Palatino Linotype" w:eastAsia="Palatino Linotype" w:hAnsi="Palatino Linotype"/>
          <w:color w:val="1A1A1A"/>
          <w:sz w:val="22"/>
          <w:szCs w:val="22"/>
        </w:rPr>
        <w:t xml:space="preserve"> (∂ₜθ) = (∂ₜA/A) Ψ + i (∂ₜθ) Ψ. Under Γ ≡ 0 and 𝒟 ≡ 0, (II) gives ∂ₜA = 0 identically, so the first term vanishes. Substituting (I) for ∂ₜθ gives ∂ₜΨ = i(−𝓗/ħ)Ψ = −(i/ħ)𝓗Ψ. Multiplying through by iħ recovers</w:t>
      </w:r>
    </w:p>
    <w:p>
      <w:pPr>
        <w:pBdr>
          <w:top w:val="single" w:color="C9A227" w:sz="4" w:space="8"/>
          <w:bottom w:val="single" w:color="C9A227" w:sz="4" w:space="8"/>
          <w:left w:val="single" w:color="C9A227" w:sz="4" w:space="8"/>
          <w:right w:val="single" w:color="C9A227" w:sz="4" w:space="8"/>
        </w:pBdr>
        <w:shd w:fill="081527" w:color="auto" w:val="clear"/>
        <w:tabs>
          <w:tab w:val="right" w:pos="9140"/>
        </w:tabs>
        <w:spacing w:after="160" w:before="160"/>
        <w:ind w:left="260" w:right="260"/>
        <w:jc w:val="left"/>
      </w:pPr>
      <w:r>
        <w:rPr>
          <w:rFonts w:ascii="Consolas" w:cs="Consolas" w:eastAsia="Consolas" w:hAnsi="Consolas"/>
          <w:color w:val="F3E6C4"/>
          <w:sz w:val="22"/>
          <w:szCs w:val="22"/>
        </w:rPr>
        <w:t xml:space="preserve">iħ ∂Ψ/∂t  =  𝓗Ψ</w:t>
      </w:r>
      <w:r>
        <w:rPr>
          <w:rFonts w:ascii="Consolas" w:cs="Consolas" w:eastAsia="Consolas" w:hAnsi="Consolas"/>
          <w:color w:val="C9A227"/>
          <w:sz w:val="18"/>
          <w:szCs w:val="18"/>
        </w:rPr>
        <w:t xml:space="preserve">	∎</w:t>
      </w:r>
    </w:p>
    <w:p>
      <w:pPr>
        <w:spacing w:after="200" w:line="300"/>
        <w:jc w:val="both"/>
      </w:pPr>
      <w:r>
        <w:rPr>
          <w:rFonts w:ascii="Palatino Linotype" w:cs="Palatino Linotype" w:eastAsia="Palatino Linotype" w:hAnsi="Palatino Linotype"/>
          <w:color w:val="1A1A1A"/>
          <w:sz w:val="22"/>
          <w:szCs w:val="22"/>
        </w:rPr>
        <w:t xml:space="preserve">with no further assumptions. Schrödinger's equation is not approximated by this limit; it is produced by it exactly.</w:t>
      </w:r>
    </w:p>
    <w:p>
      <w:pPr>
        <w:pStyle w:val="Heading2"/>
        <w:spacing w:after="140" w:before="300"/>
      </w:pPr>
      <w:r>
        <w:rPr>
          <w:rFonts w:ascii="Arial" w:cs="Arial" w:eastAsia="Arial" w:hAnsi="Arial"/>
          <w:b/>
          <w:bCs/>
          <w:color w:val="0B1F3B"/>
          <w:sz w:val="23"/>
          <w:szCs w:val="23"/>
        </w:rPr>
        <w:t xml:space="preserve">4.3 Corollary: Unitary QM as a Closed Stratum</w:t>
      </w:r>
    </w:p>
    <w:p>
      <w:pPr>
        <w:spacing w:after="200" w:line="300"/>
        <w:jc w:val="both"/>
      </w:pPr>
      <w:r>
        <w:rPr>
          <w:rFonts w:ascii="Palatino Linotype" w:cs="Palatino Linotype" w:eastAsia="Palatino Linotype" w:hAnsi="Palatino Linotype"/>
          <w:color w:val="1A1A1A"/>
          <w:sz w:val="22"/>
          <w:szCs w:val="22"/>
        </w:rPr>
        <w:t xml:space="preserve">The A–θ split used here is the phaset-bundle generalization of Madelung's 1927 polar decomposition of the wavefunction into an amplitude (continuity) equation and a phase (quantum Hamilton–Jacobi) equation — a genuine, well-known reformulation of ordinary quantum mechanics. What the Madelung formulation lacks is a closed law for what sources changes in the amplitude, and any mechanism for discrete trajectory or outcome selection. The Complete Phasefunction Equation supplies exactly those two pieces: (II) closes the amplitude equation by coupling it to the substrate, and (III) supplies the missing selection mechanism. Ordinary unitary quantum mechanics is then recovered as the idealization it has always informally been treated as — the Γ → 0, dynamically closed stratum of a bundle on which almost every phaset is, in fact, open.</w:t>
      </w:r>
    </w:p>
    <w:p>
      <w:pPr>
        <w:pStyle w:val="Heading1"/>
        <w:pBdr>
          <w:bottom w:val="single" w:color="C9A227" w:sz="6" w:space="6"/>
        </w:pBdr>
        <w:spacing w:after="220" w:before="480"/>
      </w:pPr>
      <w:r>
        <w:rPr>
          <w:rFonts w:ascii="Arial" w:cs="Arial" w:eastAsia="Arial" w:hAnsi="Arial"/>
          <w:b/>
          <w:bCs/>
          <w:color w:val="0B1F3B"/>
          <w:sz w:val="28"/>
          <w:szCs w:val="28"/>
        </w:rPr>
        <w:t xml:space="preserve">5. EMERGENT STRUCTURE</w:t>
      </w:r>
    </w:p>
    <w:p>
      <w:pPr>
        <w:spacing w:after="200" w:line="300"/>
        <w:jc w:val="both"/>
      </w:pPr>
      <w:r>
        <w:rPr>
          <w:rFonts w:ascii="Palatino Linotype" w:cs="Palatino Linotype" w:eastAsia="Palatino Linotype" w:hAnsi="Palatino Linotype"/>
          <w:color w:val="1A1A1A"/>
          <w:sz w:val="22"/>
          <w:szCs w:val="22"/>
        </w:rPr>
        <w:t xml:space="preserve">Each mechanism historically imported into quantum mechanics as a separate postulate is, under the Complete Phasefunction Equation, a structural consequence of (I)–(III).</w:t>
      </w:r>
    </w:p>
    <w:p>
      <w:pPr>
        <w:pStyle w:val="Heading2"/>
        <w:spacing w:after="140" w:before="300"/>
      </w:pPr>
      <w:r>
        <w:rPr>
          <w:rFonts w:ascii="Arial" w:cs="Arial" w:eastAsia="Arial" w:hAnsi="Arial"/>
          <w:b/>
          <w:bCs/>
          <w:color w:val="0B1F3B"/>
          <w:sz w:val="23"/>
          <w:szCs w:val="23"/>
        </w:rPr>
        <w:t xml:space="preserve">5.1 Measurement as Sector Transition</w:t>
      </w:r>
    </w:p>
    <w:p>
      <w:pPr>
        <w:spacing w:after="200" w:line="300"/>
        <w:jc w:val="both"/>
      </w:pPr>
      <w:r>
        <w:rPr>
          <w:rFonts w:ascii="Palatino Linotype" w:cs="Palatino Linotype" w:eastAsia="Palatino Linotype" w:hAnsi="Palatino Linotype"/>
          <w:color w:val="1A1A1A"/>
          <w:sz w:val="22"/>
          <w:szCs w:val="22"/>
        </w:rPr>
        <w:t xml:space="preserve">A measurement is nothing but strong substrate coupling: an interaction that drives λ(Ξ→Ξ′) large for some target sector Ξ′ (typically one correlated with a macroscopic pointer state). The "collapse" is the resulting Ξ-jump under (III) — a real, dated, dynamical event with a computable rate, not a rule invoked whenever an unspecified observer looks.</w:t>
      </w:r>
    </w:p>
    <w:p>
      <w:pPr>
        <w:pStyle w:val="Heading2"/>
        <w:spacing w:after="140" w:before="300"/>
      </w:pPr>
      <w:r>
        <w:rPr>
          <w:rFonts w:ascii="Arial" w:cs="Arial" w:eastAsia="Arial" w:hAnsi="Arial"/>
          <w:b/>
          <w:bCs/>
          <w:color w:val="0B1F3B"/>
          <w:sz w:val="23"/>
          <w:szCs w:val="23"/>
        </w:rPr>
        <w:t xml:space="preserve">5.2 Decoherence and Dissipation</w:t>
      </w:r>
    </w:p>
    <w:p>
      <w:pPr>
        <w:spacing w:after="200" w:line="300"/>
        <w:jc w:val="both"/>
      </w:pPr>
      <w:r>
        <w:rPr>
          <w:rFonts w:ascii="Palatino Linotype" w:cs="Palatino Linotype" w:eastAsia="Palatino Linotype" w:hAnsi="Palatino Linotype"/>
          <w:color w:val="1A1A1A"/>
          <w:sz w:val="22"/>
          <w:szCs w:val="22"/>
        </w:rPr>
        <w:t xml:space="preserve">Coherence loss is the ordinary action of Γ in (II): exponential suppression of off-diagonal amplitude structure at a rate set by substrate coupling. In the regime where the substrate correlation time is short compared to system dynamics, (II) reduces to the standard Markovian Lindblad form — the Lindblad equation is recovered as a limit of (II), not required as an independent input.</w:t>
      </w:r>
    </w:p>
    <w:p>
      <w:pPr>
        <w:pStyle w:val="Heading2"/>
        <w:spacing w:after="140" w:before="300"/>
      </w:pPr>
      <w:r>
        <w:rPr>
          <w:rFonts w:ascii="Arial" w:cs="Arial" w:eastAsia="Arial" w:hAnsi="Arial"/>
          <w:b/>
          <w:bCs/>
          <w:color w:val="0B1F3B"/>
          <w:sz w:val="23"/>
          <w:szCs w:val="23"/>
        </w:rPr>
        <w:t xml:space="preserve">5.3 The Born Rule Revisited</w:t>
      </w:r>
    </w:p>
    <w:p>
      <w:pPr>
        <w:spacing w:after="200" w:line="300"/>
        <w:jc w:val="both"/>
      </w:pPr>
      <w:r>
        <w:rPr>
          <w:rFonts w:ascii="Palatino Linotype" w:cs="Palatino Linotype" w:eastAsia="Palatino Linotype" w:hAnsi="Palatino Linotype"/>
          <w:color w:val="1A1A1A"/>
          <w:sz w:val="22"/>
          <w:szCs w:val="22"/>
        </w:rPr>
        <w:t xml:space="preserve">The Born-rule weighting |A|² was previously derived, independently of this paper, as the natural measure on phase-saturated configurations. Here that same object reappears as the sector-transition probability, P(Ξ→Ξ′) = |A</w:t>
      </w:r>
      <w:r>
        <w:rPr>
          <w:rFonts w:ascii="Palatino Linotype" w:cs="Palatino Linotype" w:eastAsia="Palatino Linotype" w:hAnsi="Palatino Linotype"/>
          <w:b w:val="false"/>
          <w:bCs w:val="false"/>
          <w:i w:val="false"/>
          <w:iCs w:val="false"/>
          <w:color w:val="1A1A1A"/>
          <w:sz w:val="22"/>
          <w:szCs w:val="22"/>
          <w:vertAlign w:val="subscript"/>
        </w:rPr>
        <w:t xml:space="preserve">Ξ′</w:t>
      </w:r>
      <w:r>
        <w:rPr>
          <w:rFonts w:ascii="Palatino Linotype" w:cs="Palatino Linotype" w:eastAsia="Palatino Linotype" w:hAnsi="Palatino Linotype"/>
          <w:color w:val="1A1A1A"/>
          <w:sz w:val="22"/>
          <w:szCs w:val="22"/>
        </w:rPr>
        <w:t xml:space="preserve">|² / Σ|A</w:t>
      </w:r>
      <w:r>
        <w:rPr>
          <w:rFonts w:ascii="Palatino Linotype" w:cs="Palatino Linotype" w:eastAsia="Palatino Linotype" w:hAnsi="Palatino Linotype"/>
          <w:b w:val="false"/>
          <w:bCs w:val="false"/>
          <w:i w:val="false"/>
          <w:iCs w:val="false"/>
          <w:color w:val="1A1A1A"/>
          <w:sz w:val="22"/>
          <w:szCs w:val="22"/>
          <w:vertAlign w:val="subscript"/>
        </w:rPr>
        <w:t xml:space="preserve">Ξ″</w:t>
      </w:r>
      <w:r>
        <w:rPr>
          <w:rFonts w:ascii="Palatino Linotype" w:cs="Palatino Linotype" w:eastAsia="Palatino Linotype" w:hAnsi="Palatino Linotype"/>
          <w:color w:val="1A1A1A"/>
          <w:sz w:val="22"/>
          <w:szCs w:val="22"/>
        </w:rPr>
        <w:t xml:space="preserve">|², in the limit of many admissible target sectors weighted by their instanton actions under (III). The Born rule is recovered as a statement about relative instanton actions rather than asserted as an independent axiom.</w:t>
      </w:r>
    </w:p>
    <w:p>
      <w:pPr>
        <w:pStyle w:val="Heading2"/>
        <w:spacing w:after="140" w:before="300"/>
      </w:pPr>
      <w:r>
        <w:rPr>
          <w:rFonts w:ascii="Arial" w:cs="Arial" w:eastAsia="Arial" w:hAnsi="Arial"/>
          <w:b/>
          <w:bCs/>
          <w:color w:val="0B1F3B"/>
          <w:sz w:val="23"/>
          <w:szCs w:val="23"/>
        </w:rPr>
        <w:t xml:space="preserve">5.4 Irreversibility and the Arrow of Time</w:t>
      </w:r>
    </w:p>
    <w:p>
      <w:pPr>
        <w:spacing w:after="200" w:line="300"/>
        <w:jc w:val="both"/>
      </w:pPr>
      <w:r>
        <w:rPr>
          <w:rFonts w:ascii="Palatino Linotype" w:cs="Palatino Linotype" w:eastAsia="Palatino Linotype" w:hAnsi="Palatino Linotype"/>
          <w:color w:val="1A1A1A"/>
          <w:sz w:val="22"/>
          <w:szCs w:val="22"/>
        </w:rPr>
        <w:t xml:space="preserve">Because the admissible-ordering DAG underlying Phase Theory is generated by the same class of Ξ-transitions, the forward/reverse asymmetry in 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 inherited from Axiom 2's update ordering carries directly into (III): once a macroscopic number of sector transitions has occurred, the reverse path is exponentially disfavored by the same action functional. Irreversibility is therefore inherited from the phase substrate's own admissibility structure rather than imported by coarse-graining after the fact.</w:t>
      </w:r>
    </w:p>
    <w:p>
      <w:pPr>
        <w:pStyle w:val="Heading2"/>
        <w:spacing w:after="140" w:before="300"/>
      </w:pPr>
      <w:r>
        <w:rPr>
          <w:rFonts w:ascii="Arial" w:cs="Arial" w:eastAsia="Arial" w:hAnsi="Arial"/>
          <w:b/>
          <w:bCs/>
          <w:color w:val="0B1F3B"/>
          <w:sz w:val="23"/>
          <w:szCs w:val="23"/>
        </w:rPr>
        <w:t xml:space="preserve">5.5 Particle Creation as Ξ-Jumps</w:t>
      </w:r>
    </w:p>
    <w:p>
      <w:pPr>
        <w:spacing w:after="200" w:line="300"/>
        <w:jc w:val="both"/>
      </w:pPr>
      <w:r>
        <w:rPr>
          <w:rFonts w:ascii="Palatino Linotype" w:cs="Palatino Linotype" w:eastAsia="Palatino Linotype" w:hAnsi="Palatino Linotype"/>
          <w:color w:val="1A1A1A"/>
          <w:sz w:val="22"/>
          <w:szCs w:val="22"/>
        </w:rPr>
        <w:t xml:space="preserve">Because Phase Theory treats matter as topological solitons, a sector transition that changes soliton number is naturally read as particle creation or annihilation. This gives a qualitative bridge from the phaset formalism toward Fock-space-like structure without leaving M</w:t>
      </w:r>
      <w:r>
        <w:rPr>
          <w:rFonts w:ascii="Palatino Linotype" w:cs="Palatino Linotype" w:eastAsia="Palatino Linotype" w:hAnsi="Palatino Linotype"/>
          <w:b w:val="false"/>
          <w:bCs w:val="false"/>
          <w:i w:val="false"/>
          <w:iCs w:val="false"/>
          <w:color w:val="1A1A1A"/>
          <w:sz w:val="22"/>
          <w:szCs w:val="22"/>
          <w:vertAlign w:val="subscript"/>
        </w:rPr>
        <w:t xml:space="preserve">Φ</w:t>
      </w:r>
      <w:r>
        <w:rPr>
          <w:rFonts w:ascii="Palatino Linotype" w:cs="Palatino Linotype" w:eastAsia="Palatino Linotype" w:hAnsi="Palatino Linotype"/>
          <w:color w:val="1A1A1A"/>
          <w:sz w:val="22"/>
          <w:szCs w:val="22"/>
        </w:rPr>
        <w:t xml:space="preserve"> or invoking second quantization as a separate formalism — a question left for detailed treatment in a later paper.</w:t>
      </w:r>
    </w:p>
    <w:p>
      <w:pPr>
        <w:pStyle w:val="Heading1"/>
        <w:pBdr>
          <w:bottom w:val="single" w:color="C9A227" w:sz="6" w:space="6"/>
        </w:pBdr>
        <w:spacing w:after="220" w:before="480"/>
      </w:pPr>
      <w:r>
        <w:rPr>
          <w:rFonts w:ascii="Arial" w:cs="Arial" w:eastAsia="Arial" w:hAnsi="Arial"/>
          <w:b/>
          <w:bCs/>
          <w:color w:val="0B1F3B"/>
          <w:sz w:val="28"/>
          <w:szCs w:val="28"/>
        </w:rPr>
        <w:t xml:space="preserve">6. RELATION TO OPEN PROBLEMS OP-1 AND OP-2</w:t>
      </w:r>
    </w:p>
    <w:p>
      <w:pPr>
        <w:pStyle w:val="Heading2"/>
        <w:spacing w:after="140" w:before="300"/>
      </w:pPr>
      <w:r>
        <w:rPr>
          <w:rFonts w:ascii="Arial" w:cs="Arial" w:eastAsia="Arial" w:hAnsi="Arial"/>
          <w:b/>
          <w:bCs/>
          <w:color w:val="0B1F3B"/>
          <w:sz w:val="23"/>
          <w:szCs w:val="23"/>
        </w:rPr>
        <w:t xml:space="preserve">6.1 Quantum Emergence Theorem (OP-1)</w:t>
      </w:r>
    </w:p>
    <w:p>
      <w:pPr>
        <w:pBdr>
          <w:left w:val="single" w:color="0B1F3B" w:sz="18" w:space="10"/>
        </w:pBdr>
        <w:shd w:fill="F4F1E8" w:color="auto" w:val="clear"/>
        <w:spacing w:after="220" w:before="180"/>
        <w:ind w:left="260" w:right="260"/>
      </w:pPr>
      <w:r>
        <w:rPr>
          <w:rFonts w:ascii="Arial" w:cs="Arial" w:eastAsia="Arial" w:hAnsi="Arial"/>
          <w:b/>
          <w:bCs/>
          <w:color w:val="0B1F3B"/>
          <w:sz w:val="21"/>
          <w:szCs w:val="21"/>
        </w:rPr>
        <w:t xml:space="preserve">Candidate Theorem (Quantum Emergence).  </w:t>
      </w:r>
      <w:r>
        <w:rPr>
          <w:rFonts w:ascii="Palatino Linotype" w:cs="Palatino Linotype" w:eastAsia="Palatino Linotype" w:hAnsi="Palatino Linotype"/>
          <w:i/>
          <w:iCs/>
          <w:color w:val="1A1A1A"/>
          <w:sz w:val="21"/>
          <w:szCs w:val="21"/>
        </w:rPr>
        <w:t xml:space="preserve">Standard quantum mechanics is recovered as the Γ → 0 limit of Complete Phasefunction statistics on any topological sector, uniformly in the choice of sector.</w:t>
      </w:r>
    </w:p>
    <w:p>
      <w:pPr>
        <w:spacing w:after="200" w:line="300"/>
        <w:jc w:val="both"/>
      </w:pPr>
      <w:r>
        <w:rPr>
          <w:rFonts w:ascii="Palatino Linotype" w:cs="Palatino Linotype" w:eastAsia="Palatino Linotype" w:hAnsi="Palatino Linotype"/>
          <w:color w:val="1A1A1A"/>
          <w:sz w:val="22"/>
          <w:szCs w:val="22"/>
        </w:rPr>
        <w:t xml:space="preserve">Theorem 1 (§4.2) establishes the pointwise case: any single closed sector reduces exactly to Schrödinger dynamics. The remaining gap for a full proof of OP-1 is uniformity — showing that the Γ → 0 limit is approached consistently across the sector lattice 𝓛 rather than sector-by-sector, and that no sector exhibits pathological behavior as the limit is taken. This is proposed as the immediate next technical target of the programme.</w:t>
      </w:r>
    </w:p>
    <w:p>
      <w:pPr>
        <w:pStyle w:val="Heading2"/>
        <w:spacing w:after="140" w:before="300"/>
      </w:pPr>
      <w:r>
        <w:rPr>
          <w:rFonts w:ascii="Arial" w:cs="Arial" w:eastAsia="Arial" w:hAnsi="Arial"/>
          <w:b/>
          <w:bCs/>
          <w:color w:val="0B1F3B"/>
          <w:sz w:val="23"/>
          <w:szCs w:val="23"/>
        </w:rPr>
        <w:t xml:space="preserve">6.2 Classical Limit Theorem (OP-2)</w:t>
      </w:r>
    </w:p>
    <w:p>
      <w:pPr>
        <w:spacing w:after="200" w:line="300"/>
        <w:jc w:val="both"/>
      </w:pPr>
      <w:r>
        <w:rPr>
          <w:rFonts w:ascii="Palatino Linotype" w:cs="Palatino Linotype" w:eastAsia="Palatino Linotype" w:hAnsi="Palatino Linotype"/>
          <w:color w:val="1A1A1A"/>
          <w:sz w:val="22"/>
          <w:szCs w:val="22"/>
        </w:rPr>
        <w:t xml:space="preserve">We propose a candidate scaling law: Γ[Ξ] ~ r(Ξ) · γ</w:t>
      </w:r>
      <w:r>
        <w:rPr>
          <w:rFonts w:ascii="Palatino Linotype" w:cs="Palatino Linotype" w:eastAsia="Palatino Linotype" w:hAnsi="Palatino Linotype"/>
          <w:b w:val="false"/>
          <w:bCs w:val="false"/>
          <w:i w:val="false"/>
          <w:iCs w:val="false"/>
          <w:color w:val="1A1A1A"/>
          <w:sz w:val="22"/>
          <w:szCs w:val="22"/>
          <w:vertAlign w:val="subscript"/>
        </w:rPr>
        <w:t xml:space="preserve">0</w:t>
      </w:r>
      <w:r>
        <w:rPr>
          <w:rFonts w:ascii="Palatino Linotype" w:cs="Palatino Linotype" w:eastAsia="Palatino Linotype" w:hAnsi="Palatino Linotype"/>
          <w:color w:val="1A1A1A"/>
          <w:sz w:val="22"/>
          <w:szCs w:val="22"/>
        </w:rPr>
        <w:t xml:space="preserve">, where r(Ξ) is the number of substrate degrees of freedom entangled with sector Ξ — its "phase-substrate rank." Macroscopic sectors have large r(Ξ) and hence Γ effectively divergent, giving fast, classical-looking sector selection; microscopic, well-isolated sectors have small r(Ξ) and hence small Γ, giving the slow decoherence characteristic of controlled quantum systems. This reproduces the qualitative content of standard decoherence theory while giving OP-2 a concrete quantity — r(Ξ) — to define and bound.</w:t>
      </w:r>
    </w:p>
    <w:p>
      <w:pPr>
        <w:pStyle w:val="Heading1"/>
        <w:pBdr>
          <w:bottom w:val="single" w:color="C9A227" w:sz="6" w:space="6"/>
        </w:pBdr>
        <w:spacing w:after="220" w:before="480"/>
      </w:pPr>
      <w:r>
        <w:rPr>
          <w:rFonts w:ascii="Arial" w:cs="Arial" w:eastAsia="Arial" w:hAnsi="Arial"/>
          <w:b/>
          <w:bCs/>
          <w:color w:val="0B1F3B"/>
          <w:sz w:val="28"/>
          <w:szCs w:val="28"/>
        </w:rPr>
        <w:t xml:space="preserve">7. FALSIFIABILITY AND PREDICTED SIGNATURES</w:t>
      </w:r>
    </w:p>
    <w:p>
      <w:pPr>
        <w:spacing w:after="200" w:line="300"/>
        <w:jc w:val="both"/>
      </w:pPr>
      <w:r>
        <w:rPr>
          <w:rFonts w:ascii="Palatino Linotype" w:cs="Palatino Linotype" w:eastAsia="Palatino Linotype" w:hAnsi="Palatino Linotype"/>
          <w:color w:val="1A1A1A"/>
          <w:sz w:val="22"/>
          <w:szCs w:val="22"/>
        </w:rPr>
        <w:t xml:space="preserve">A completion is only useful if it predicts something a bare Lindblad description does not. Because the sector-transition rate (III) is discrete and instanton-weighted rather than continuous and phenomenological, it predicts specific non-Markovian corrections and discretized jump statistics at short times, distinguishing it in principle from a fitted Lindblad dissipator. Candidate probes, drawn from the existing PM deployment-note series:</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PM-4 (Josephson-junction phase) — direct access to the phase law (I) and the Γ term of (II) via junction phase-diffusion measurements; deviations from the standard dissipation model are predicted near the sector-transition timescale set by 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PM-14 (discrete time crystals, Floquet systems) — the stroboscopic drive-cycle structure is already sector-like, making this a natural setting to look for discretized Ξ-jump statistics rather than continuous decoherence.</w:t>
      </w:r>
    </w:p>
    <w:p>
      <w:pPr>
        <w:pStyle w:val="ListParagraph"/>
        <w:numPr>
          <w:ilvl w:val="0"/>
          <w:numId w:val="1"/>
        </w:numPr>
        <w:spacing w:after="120" w:line="280"/>
      </w:pPr>
      <w:r>
        <w:rPr>
          <w:rFonts w:ascii="Palatino Linotype" w:cs="Palatino Linotype" w:eastAsia="Palatino Linotype" w:hAnsi="Palatino Linotype"/>
          <w:color w:val="1A1A1A"/>
          <w:sz w:val="22"/>
          <w:szCs w:val="22"/>
        </w:rPr>
        <w:t xml:space="preserve">PM-9 (fractional quantum Hall anyons) — since anyon braiding is inherently topological, this is the most direct test of whether Ξ-transitions carry the non-Abelian structure (III) requires in its general form.</w:t>
      </w:r>
    </w:p>
    <w:p>
      <w:pPr>
        <w:spacing w:after="200" w:line="300"/>
        <w:jc w:val="both"/>
      </w:pPr>
      <w:r>
        <w:rPr>
          <w:rFonts w:ascii="Palatino Linotype" w:cs="Palatino Linotype" w:eastAsia="Palatino Linotype" w:hAnsi="Palatino Linotype"/>
          <w:color w:val="1A1A1A"/>
          <w:sz w:val="22"/>
          <w:szCs w:val="22"/>
        </w:rPr>
        <w:t xml:space="preserve">None of these constitute a confirmed prediction; they are proposed as the concrete falsification targets for this paper's claims, consistent with the deployment-note programme's existing role as a set of independent terrestrial stress tests.</w:t>
      </w:r>
    </w:p>
    <w:p>
      <w:pPr>
        <w:pStyle w:val="Heading1"/>
        <w:pBdr>
          <w:bottom w:val="single" w:color="C9A227" w:sz="6" w:space="6"/>
        </w:pBdr>
        <w:spacing w:after="220" w:before="480"/>
      </w:pPr>
      <w:r>
        <w:rPr>
          <w:rFonts w:ascii="Arial" w:cs="Arial" w:eastAsia="Arial" w:hAnsi="Arial"/>
          <w:b/>
          <w:bCs/>
          <w:color w:val="0B1F3B"/>
          <w:sz w:val="28"/>
          <w:szCs w:val="28"/>
        </w:rPr>
        <w:t xml:space="preserve">8. DISCUSSION AND OUTLOOK</w:t>
      </w:r>
    </w:p>
    <w:p>
      <w:pPr>
        <w:spacing w:after="200" w:line="300"/>
        <w:jc w:val="both"/>
      </w:pPr>
      <w:r>
        <w:rPr>
          <w:rFonts w:ascii="Palatino Linotype" w:cs="Palatino Linotype" w:eastAsia="Palatino Linotype" w:hAnsi="Palatino Linotype"/>
          <w:color w:val="1A1A1A"/>
          <w:sz w:val="22"/>
          <w:szCs w:val="22"/>
        </w:rPr>
        <w:t xml:space="preserve">The Complete Phasefunction Equation sits in the same broad family as the Ghirardi–Rimini–Weber and Continuous Spontaneous Localization spontaneous-collapse models, and the Diósi–Penrose gravity-induced reduction proposals: all of them modify Schrödinger dynamics with an additional stochastic term to resolve the measurement problem structurally rather than by postulate. The distinguishing claim of this paper is that the added term need not be phenomenological. In GRW/CSL and Diósi–Penrose, the collapse rate is a free parameter calibrated against the absence of observed collapse at microscopic scales. Here, 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 and Γ are read off the same phase substrate that already governs Phase Theory's topological sector structure — a candidate route to computing, rather than fitting, the constant those models must otherwise assume.</w:t>
      </w:r>
    </w:p>
    <w:p>
      <w:pPr>
        <w:spacing w:after="200" w:line="300"/>
        <w:jc w:val="both"/>
      </w:pPr>
      <w:r>
        <w:rPr>
          <w:rFonts w:ascii="Palatino Linotype" w:cs="Palatino Linotype" w:eastAsia="Palatino Linotype" w:hAnsi="Palatino Linotype"/>
          <w:color w:val="1A1A1A"/>
          <w:sz w:val="22"/>
          <w:szCs w:val="22"/>
        </w:rPr>
        <w:t xml:space="preserve">The next step in the programme (proposed as PM-3) is to derive 𝓗[Φ], Γ[Ξ], and S</w:t>
      </w:r>
      <w:r>
        <w:rPr>
          <w:rFonts w:ascii="Palatino Linotype" w:cs="Palatino Linotype" w:eastAsia="Palatino Linotype" w:hAnsi="Palatino Linotype"/>
          <w:b w:val="false"/>
          <w:bCs w:val="false"/>
          <w:i w:val="false"/>
          <w:iCs w:val="false"/>
          <w:color w:val="1A1A1A"/>
          <w:sz w:val="22"/>
          <w:szCs w:val="22"/>
          <w:vertAlign w:val="subscript"/>
        </w:rPr>
        <w:t xml:space="preserve">inst</w:t>
      </w:r>
      <w:r>
        <w:rPr>
          <w:rFonts w:ascii="Palatino Linotype" w:cs="Palatino Linotype" w:eastAsia="Palatino Linotype" w:hAnsi="Palatino Linotype"/>
          <w:color w:val="1A1A1A"/>
          <w:sz w:val="22"/>
          <w:szCs w:val="22"/>
        </w:rPr>
        <w:t xml:space="preserve"> from first principles, by substituting the phaset directly into Phase Theory's gauged nonlinear sigma-model action rather than leaving them as free functionals as they are treated here. A first-principles derivation of Γ would additionally sharpen the phase-substrate-rank proposal of §6.2 into an actual computable quantity, closing the remaining gap in OP-2.</w:t>
      </w:r>
    </w:p>
    <w:p>
      <w:pPr>
        <w:pStyle w:val="Heading1"/>
        <w:pBdr>
          <w:bottom w:val="single" w:color="C9A227" w:sz="6" w:space="6"/>
        </w:pBdr>
        <w:spacing w:after="220" w:before="480"/>
      </w:pPr>
      <w:r>
        <w:rPr>
          <w:rFonts w:ascii="Arial" w:cs="Arial" w:eastAsia="Arial" w:hAnsi="Arial"/>
          <w:b/>
          <w:bCs/>
          <w:color w:val="0B1F3B"/>
          <w:sz w:val="28"/>
          <w:szCs w:val="28"/>
        </w:rPr>
        <w:t xml:space="preserve">REFERENCES</w:t>
      </w:r>
    </w:p>
    <w:p>
      <w:pPr>
        <w:pStyle w:val="Heading2"/>
        <w:spacing w:after="140" w:before="300"/>
      </w:pPr>
      <w:r>
        <w:rPr>
          <w:rFonts w:ascii="Arial" w:cs="Arial" w:eastAsia="Arial" w:hAnsi="Arial"/>
          <w:b/>
          <w:bCs/>
          <w:color w:val="0B1F3B"/>
          <w:sz w:val="23"/>
          <w:szCs w:val="23"/>
        </w:rPr>
        <w:t xml:space="preserve">Dust LLC / Phase Theory Corpus</w:t>
      </w:r>
    </w:p>
    <w:p>
      <w:pPr>
        <w:spacing w:after="140" w:line="280"/>
        <w:ind w:left="400" w:hanging="400"/>
      </w:pPr>
      <w:r>
        <w:rPr>
          <w:rFonts w:ascii="Palatino Linotype" w:cs="Palatino Linotype" w:eastAsia="Palatino Linotype" w:hAnsi="Palatino Linotype"/>
          <w:color w:val="1A1A1A"/>
          <w:sz w:val="20"/>
          <w:szCs w:val="20"/>
        </w:rPr>
        <w:t xml:space="preserve">Brownlee, M. "Phase Theory: A Unified Framework for Emergent Spacetime and Matter." Dust LLC, January 2026 preprint.</w:t>
      </w:r>
    </w:p>
    <w:p>
      <w:pPr>
        <w:spacing w:after="140" w:line="280"/>
        <w:ind w:left="400" w:hanging="400"/>
      </w:pPr>
      <w:r>
        <w:rPr>
          <w:rFonts w:ascii="Palatino Linotype" w:cs="Palatino Linotype" w:eastAsia="Palatino Linotype" w:hAnsi="Palatino Linotype"/>
          <w:color w:val="1A1A1A"/>
          <w:sz w:val="20"/>
          <w:szCs w:val="20"/>
        </w:rPr>
        <w:t xml:space="preserve">Brownlee, M. "PM-DECL-001: Foundations of Phase Mechanics." Dust LLC, Phase Mechanics series, 2026.</w:t>
      </w:r>
    </w:p>
    <w:p>
      <w:pPr>
        <w:spacing w:after="140" w:line="280"/>
        <w:ind w:left="400" w:hanging="400"/>
      </w:pPr>
      <w:r>
        <w:rPr>
          <w:rFonts w:ascii="Palatino Linotype" w:cs="Palatino Linotype" w:eastAsia="Palatino Linotype" w:hAnsi="Palatino Linotype"/>
          <w:color w:val="1A1A1A"/>
          <w:sz w:val="20"/>
          <w:szCs w:val="20"/>
        </w:rPr>
        <w:t xml:space="preserve">Brownlee, M. "PM-1." Dust LLC, Phase Mechanics series, 2026.</w:t>
      </w:r>
    </w:p>
    <w:p>
      <w:pPr>
        <w:spacing w:after="140" w:line="280"/>
        <w:ind w:left="400" w:hanging="400"/>
      </w:pPr>
      <w:r>
        <w:rPr>
          <w:rFonts w:ascii="Palatino Linotype" w:cs="Palatino Linotype" w:eastAsia="Palatino Linotype" w:hAnsi="Palatino Linotype"/>
          <w:color w:val="1A1A1A"/>
          <w:sz w:val="20"/>
          <w:szCs w:val="20"/>
        </w:rPr>
        <w:t xml:space="preserve">Brownlee, M. "On the Emergence of the Born Rule from Phase-Saturated Configurations." Dust LLC, Φ-Wave Theory series.</w:t>
      </w:r>
    </w:p>
    <w:p>
      <w:pPr>
        <w:spacing w:after="140" w:line="280"/>
        <w:ind w:left="400" w:hanging="400"/>
      </w:pPr>
      <w:r>
        <w:rPr>
          <w:rFonts w:ascii="Palatino Linotype" w:cs="Palatino Linotype" w:eastAsia="Palatino Linotype" w:hAnsi="Palatino Linotype"/>
          <w:color w:val="1A1A1A"/>
          <w:sz w:val="20"/>
          <w:szCs w:val="20"/>
        </w:rPr>
        <w:t xml:space="preserve">Brownlee, M. "Negative Time in Quantum Mechanics: Anti-Instantons and Euclidean QFT in Phase Theory." Dust LLC preprint.</w:t>
      </w:r>
    </w:p>
    <w:p>
      <w:pPr>
        <w:spacing w:after="140" w:line="280"/>
        <w:ind w:left="400" w:hanging="400"/>
      </w:pPr>
      <w:r>
        <w:rPr>
          <w:rFonts w:ascii="Palatino Linotype" w:cs="Palatino Linotype" w:eastAsia="Palatino Linotype" w:hAnsi="Palatino Linotype"/>
          <w:color w:val="1A1A1A"/>
          <w:sz w:val="20"/>
          <w:szCs w:val="20"/>
        </w:rPr>
        <w:t xml:space="preserve">Brownlee, M. "Paper 87: Phase Time Theory (Emergent Time)." Dust LLC, Φ-Wave Theory series.</w:t>
      </w:r>
    </w:p>
    <w:p>
      <w:pPr>
        <w:pStyle w:val="Heading2"/>
        <w:spacing w:after="140" w:before="300"/>
      </w:pPr>
      <w:r>
        <w:rPr>
          <w:rFonts w:ascii="Arial" w:cs="Arial" w:eastAsia="Arial" w:hAnsi="Arial"/>
          <w:b/>
          <w:bCs/>
          <w:color w:val="0B1F3B"/>
          <w:sz w:val="23"/>
          <w:szCs w:val="23"/>
        </w:rPr>
        <w:t xml:space="preserve">External</w:t>
      </w:r>
    </w:p>
    <w:p>
      <w:pPr>
        <w:spacing w:after="140" w:line="280"/>
        <w:ind w:left="400" w:hanging="400"/>
      </w:pPr>
      <w:r>
        <w:rPr>
          <w:rFonts w:ascii="Palatino Linotype" w:cs="Palatino Linotype" w:eastAsia="Palatino Linotype" w:hAnsi="Palatino Linotype"/>
          <w:color w:val="1A1A1A"/>
          <w:sz w:val="20"/>
          <w:szCs w:val="20"/>
        </w:rPr>
        <w:t xml:space="preserve">Schrödinger, E. "An Undulatory Theory of the Mechanics of Atoms and Molecules." Physical Review 28 (1926): 1049–1070.</w:t>
      </w:r>
    </w:p>
    <w:p>
      <w:pPr>
        <w:spacing w:after="140" w:line="280"/>
        <w:ind w:left="400" w:hanging="400"/>
      </w:pPr>
      <w:r>
        <w:rPr>
          <w:rFonts w:ascii="Palatino Linotype" w:cs="Palatino Linotype" w:eastAsia="Palatino Linotype" w:hAnsi="Palatino Linotype"/>
          <w:color w:val="1A1A1A"/>
          <w:sz w:val="20"/>
          <w:szCs w:val="20"/>
        </w:rPr>
        <w:t xml:space="preserve">Madelung, E. "Quantentheorie in hydrodynamischer Form." Zeitschrift für Physik 40 (1927): 322–326.</w:t>
      </w:r>
    </w:p>
    <w:p>
      <w:pPr>
        <w:spacing w:after="140" w:line="280"/>
        <w:ind w:left="400" w:hanging="400"/>
      </w:pPr>
      <w:r>
        <w:rPr>
          <w:rFonts w:ascii="Palatino Linotype" w:cs="Palatino Linotype" w:eastAsia="Palatino Linotype" w:hAnsi="Palatino Linotype"/>
          <w:color w:val="1A1A1A"/>
          <w:sz w:val="20"/>
          <w:szCs w:val="20"/>
        </w:rPr>
        <w:t xml:space="preserve">Lindblad, G. "On the Generators of Quantum Dynamical Semigroups." Communications in Mathematical Physics 48 (1976): 119–130.</w:t>
      </w:r>
    </w:p>
    <w:p>
      <w:pPr>
        <w:spacing w:after="140" w:line="280"/>
        <w:ind w:left="400" w:hanging="400"/>
      </w:pPr>
      <w:r>
        <w:rPr>
          <w:rFonts w:ascii="Palatino Linotype" w:cs="Palatino Linotype" w:eastAsia="Palatino Linotype" w:hAnsi="Palatino Linotype"/>
          <w:color w:val="1A1A1A"/>
          <w:sz w:val="20"/>
          <w:szCs w:val="20"/>
        </w:rPr>
        <w:t xml:space="preserve">Ghirardi, G.C., Rimini, A., Weber, T. "Unified Dynamics for Microscopic and Macroscopic Systems." Physical Review D 34 (1986): 470–491.</w:t>
      </w:r>
    </w:p>
    <w:p>
      <w:pPr>
        <w:spacing w:after="140" w:line="280"/>
        <w:ind w:left="400" w:hanging="400"/>
      </w:pPr>
      <w:r>
        <w:rPr>
          <w:rFonts w:ascii="Palatino Linotype" w:cs="Palatino Linotype" w:eastAsia="Palatino Linotype" w:hAnsi="Palatino Linotype"/>
          <w:color w:val="1A1A1A"/>
          <w:sz w:val="20"/>
          <w:szCs w:val="20"/>
        </w:rPr>
        <w:t xml:space="preserve">Diósi, L. "A Universal Master Equation for the Gravitational Violation of Quantum Mechanics." Physics Letters A 120 (1987): 377–381.</w:t>
      </w:r>
    </w:p>
    <w:p>
      <w:pPr>
        <w:spacing w:after="140" w:line="280"/>
        <w:ind w:left="400" w:hanging="400"/>
      </w:pPr>
      <w:r>
        <w:rPr>
          <w:rFonts w:ascii="Palatino Linotype" w:cs="Palatino Linotype" w:eastAsia="Palatino Linotype" w:hAnsi="Palatino Linotype"/>
          <w:color w:val="1A1A1A"/>
          <w:sz w:val="20"/>
          <w:szCs w:val="20"/>
        </w:rPr>
        <w:t xml:space="preserve">Penrose, R. "On Gravity's Role in Quantum State Reduction." General Relativity and Gravitation 28 (1996): 581–600.</w:t>
      </w:r>
    </w:p>
    <w:p>
      <w:pPr>
        <w:spacing w:after="140" w:line="280"/>
        <w:ind w:left="400" w:hanging="400"/>
      </w:pPr>
      <w:r>
        <w:rPr>
          <w:rFonts w:ascii="Palatino Linotype" w:cs="Palatino Linotype" w:eastAsia="Palatino Linotype" w:hAnsi="Palatino Linotype"/>
          <w:color w:val="1A1A1A"/>
          <w:sz w:val="20"/>
          <w:szCs w:val="20"/>
        </w:rPr>
        <w:t xml:space="preserve">Zurek, W.H. "Decoherence, Einselection, and the Quantum Origins of the Classical." Reviews of Modern Physics 75 (2003): 715–775.</w:t>
      </w:r>
    </w:p>
    <w:sectPr>
      <w:headerReference w:type="default" r:id="rId7"/>
      <w:headerReference w:type="first" r:id="rId8"/>
      <w:footerReference w:type="default" r:id="rId9"/>
      <w:footerReference w:type="first" r:id="rId10"/>
      <w:pgSz w:w="12240" w:h="15840" w:orient="portrait"/>
      <w:pgMar w:top="1440" w:right="1350" w:bottom="1440" w:left="135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40"/>
      </w:tabs>
    </w:pPr>
    <w:r>
      <w:rPr>
        <w:rFonts w:ascii="Arial" w:cs="Arial" w:eastAsia="Arial" w:hAnsi="Arial"/>
        <w:color w:val="6B6B6B"/>
        <w:sz w:val="14"/>
        <w:szCs w:val="14"/>
      </w:rPr>
      <w:t xml:space="preserve">Proprietary Preprint · Dust LLC</w:t>
    </w:r>
    <w:r>
      <w:rPr>
        <w:rFonts w:ascii="Arial" w:cs="Arial" w:eastAsia="Arial" w:hAnsi="Arial"/>
        <w:color w:val="6B6B6B"/>
        <w:sz w:val="14"/>
        <w:szCs w:val="14"/>
      </w:rPr>
      <w:t xml:space="preserve">	</w:t>
    </w:r>
    <w:r>
      <w:rPr>
        <w:rFonts w:ascii="Arial" w:cs="Arial" w:eastAsia="Arial" w:hAnsi="Arial"/>
        <w:color w:val="6B6B6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tabs>
        <w:tab w:val="right" w:pos="9540"/>
      </w:tabs>
    </w:pPr>
    <w:r>
      <w:rPr>
        <w:rFonts w:ascii="Arial" w:cs="Arial" w:eastAsia="Arial" w:hAnsi="Arial"/>
        <w:color w:val="6B6B6B"/>
        <w:sz w:val="15"/>
        <w:szCs w:val="15"/>
      </w:rPr>
      <w:t xml:space="preserve">DUST LLC  ·  PHASE MECHANICS</w:t>
    </w:r>
    <w:r>
      <w:rPr>
        <w:rFonts w:ascii="Arial" w:cs="Arial" w:eastAsia="Arial" w:hAnsi="Arial"/>
        <w:color w:val="6B6B6B"/>
        <w:sz w:val="15"/>
        <w:szCs w:val="15"/>
      </w:rPr>
      <w:t xml:space="preserve">	PM–2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Phasefunction Equation (PM-2)</dc:title>
  <dc:creator>M. Brownlee</dc:creator>
  <dc:description>Dust LLC — Phase Mechanics PM-2 preprint</dc:description>
  <cp:lastModifiedBy>Un-named</cp:lastModifiedBy>
  <cp:revision>1</cp:revision>
  <dcterms:created xsi:type="dcterms:W3CDTF">2026-08-17T01:57:28.559Z</dcterms:created>
  <dcterms:modified xsi:type="dcterms:W3CDTF">2026-08-17T01:57:28.559Z</dcterms:modified>
</cp:coreProperties>
</file>

<file path=docProps/custom.xml><?xml version="1.0" encoding="utf-8"?>
<Properties xmlns="http://schemas.openxmlformats.org/officeDocument/2006/custom-properties" xmlns:vt="http://schemas.openxmlformats.org/officeDocument/2006/docPropsVTypes"/>
</file>