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PM-2</w:t>
      </w:r>
    </w:p>
    <w:p>
      <w:pPr>
        <w:spacing w:after="240"/>
        <w:jc w:val="center"/>
      </w:pPr>
      <w:r>
        <w:rPr>
          <w:rFonts w:ascii="Arial" w:cs="Arial" w:eastAsia="Arial" w:hAnsi="Arial"/>
          <w:b/>
          <w:bCs/>
          <w:color w:val="1B2A4A"/>
          <w:sz w:val="36"/>
          <w:szCs w:val="36"/>
        </w:rPr>
        <w:t xml:space="preserve">Laboratory Double Layers as a Terrestrial Probe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double layer, phason, amplitudon, laboratory plasma,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Phase Mechanics requires an experimentally accessible system in which the dynamics of a phase-bearing order parameter can be perturbed, measured, and compared against the theory’s formal predictions on short timescales and at laboratory scale. Astrophysical systems are unsuitable for this role: stellar interiors are inferred indirectly, over long timescales, through channels (neutrino flux, helioseismic spectra) that are not designed to isolate phase-substrate observables. This note proposes an alternative and considerably more tractable candidate — the double layer, a localized, self-organized space-charge structure that forms spontaneously in weakly collisional laboratory plasmas. Double layers are mainstream, peer-reviewed, and routinely produced on the benchtop; their potential and density profiles constitute a bounded order parameter with both amplitude and phase-like degrees of freedom, and their relaxation oscillations (“spitting”) are a measured, repeatable phenomenon. We propose a correspondence between the double-layer order parameter and the Phase Mechanics phaset, identify an observable in double-layer relaxation dynamics that the phaset formalism predicts should be topologically quantized where standard fluid and kinetic double-layer theory predicts a continuum, and specify a diagnostic protocol capable of adjudicating between the two. The proposal is explicitly independent of any astrophysical or stellar-power claim.</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A recurring difficulty for any theory that posits a single underlying substrate beneath spacetime, matter, and fields is finding a system where that substrate’s dynamics can be isolated and perturbed under controlled conditions. Phase Theory’s downstream mechanical formalism, Phase Mechanics, defines the phaset as the elementary carrier of phase-substrate configuration and specifies six criteria (PDC-1 through PDC-6) that any candidate physical realization must satisfy to count as a genuine implementation rather than a metaphor. Superconducting phase, charge-density-wave order, and superfluid vorticity are strong candidates for this role and are addressed in companion notes. This note addresses a fourth candidate drawn from plasma physics: the double layer.</w:t>
      </w:r>
    </w:p>
    <w:p>
      <w:pPr>
        <w:spacing w:after="200" w:line="276"/>
        <w:jc w:val="both"/>
      </w:pPr>
      <w:r>
        <w:rPr>
          <w:rFonts w:ascii="Palatino Linotype" w:cs="Palatino Linotype" w:eastAsia="Palatino Linotype" w:hAnsi="Palatino Linotype"/>
          <w:sz w:val="22"/>
          <w:szCs w:val="22"/>
        </w:rPr>
        <w:t xml:space="preserve">Double layers are attractive for three reasons specific to Phase Mechanics’ needs. First, they are self-organizing — the structure forms spontaneously from a density or temperature gradient rather than being externally imposed, which matters if the phase substrate’s own organizing tendency, rather than an externally imposed boundary condition, is what is under test. Second, they are fast: characteristic relaxation and spitting timescales are on the order of microseconds to milliseconds, permitting many repeated trials within a single experimental session. Third, the diagnostic toolkit for measuring them — Langmuir probes, emissive probes, laser-induced fluorescence — is mature, standard laboratory equipment, not a bespoke apparatus.</w:t>
      </w:r>
    </w:p>
    <w:p>
      <w:pPr>
        <w:spacing w:after="200" w:line="276"/>
        <w:jc w:val="both"/>
      </w:pPr>
      <w:r>
        <w:rPr>
          <w:rFonts w:ascii="Palatino Linotype" w:cs="Palatino Linotype" w:eastAsia="Palatino Linotype" w:hAnsi="Palatino Linotype"/>
          <w:sz w:val="22"/>
          <w:szCs w:val="22"/>
        </w:rPr>
        <w:t xml:space="preserve">This note is deliberately scoped away from any claim about stellar structure, stellar power sources, or astrophysical plasma at large. The double layer is treated here purely as a terrestrial, reproducible plasma structure with a well-characterized standard-theory description, against which a Phase Mechanics correspondence can be proposed and tested. Nothing in what follows depends on, or should be read as evidence for or against, any claim about the interior of stars.</w:t>
      </w:r>
    </w:p>
    <w:p>
      <w:pPr>
        <w:pStyle w:val="Heading1"/>
        <w:pBdr>
          <w:bottom w:val="single" w:color="B8922B" w:sz="6" w:space="4"/>
        </w:pBdr>
        <w:spacing w:after="200" w:before="400"/>
      </w:pPr>
      <w:r>
        <w:rPr>
          <w:rFonts w:ascii="Arial" w:cs="Arial" w:eastAsia="Arial" w:hAnsi="Arial"/>
          <w:b/>
          <w:bCs/>
          <w:color w:val="1B2A4A"/>
          <w:sz w:val="26"/>
          <w:szCs w:val="26"/>
        </w:rPr>
        <w:t xml:space="preserve">II. Double Layers in Laboratory Plasmas: Established Phenomenology</w:t>
      </w:r>
    </w:p>
    <w:p>
      <w:pPr>
        <w:spacing w:after="200" w:line="276"/>
        <w:jc w:val="both"/>
      </w:pPr>
      <w:r>
        <w:rPr>
          <w:rFonts w:ascii="Palatino Linotype" w:cs="Palatino Linotype" w:eastAsia="Palatino Linotype" w:hAnsi="Palatino Linotype"/>
          <w:sz w:val="22"/>
          <w:szCs w:val="22"/>
        </w:rPr>
        <w:t xml:space="preserve">A double layer is a thin, localized plasma structure comprising two adjacent regions of net space charge — one positive, one negative — that together support an electrostatic potential drop substantially larger than the local electron thermal potential, across a distance of order tens of Debye lengths. The phenomenon was first characterized by Langmuir in low-pressure discharge tubes, and the formal criteria distinguishing a “strong” double layer (one satisfying the Bohm criterion on both its high- and low-potential sides) were established in the plasma-sheath literature of the 1970s and 1980s.</w:t>
      </w:r>
    </w:p>
    <w:p>
      <w:pPr>
        <w:spacing w:after="200" w:line="276"/>
        <w:jc w:val="both"/>
      </w:pPr>
      <w:r>
        <w:rPr>
          <w:rFonts w:ascii="Palatino Linotype" w:cs="Palatino Linotype" w:eastAsia="Palatino Linotype" w:hAnsi="Palatino Linotype"/>
          <w:sz w:val="22"/>
          <w:szCs w:val="22"/>
        </w:rPr>
        <w:t xml:space="preserve">Two broad classes are relevant here. Current-driven double layers form when an external circuit forces a current through a plasma column that cannot otherwise support it uniformly, producing a localized potential jump; these have been studied extensively in double-plasma-device experiments and are the basis for laboratory models of auroral particle acceleration. Current-free double layers, by contrast, form spontaneously at the boundary between a high-density source region and a low-density expansion region — for example at the exit of a helicon-wave plasma source into a larger diffusion chamber — without any externally imposed current, and produce a supersonic, mono-energetic ion beam on the low-potential side. Current-free double layers of this kind are directly relevant to laboratory electric-propulsion research and have been reproduced across multiple independent laboratories and source geometries.</w:t>
      </w:r>
    </w:p>
    <w:p>
      <w:pPr>
        <w:spacing w:after="200" w:line="276"/>
        <w:jc w:val="both"/>
      </w:pPr>
      <w:r>
        <w:rPr>
          <w:rFonts w:ascii="Palatino Linotype" w:cs="Palatino Linotype" w:eastAsia="Palatino Linotype" w:hAnsi="Palatino Linotype"/>
          <w:sz w:val="22"/>
          <w:szCs w:val="22"/>
        </w:rPr>
        <w:t xml:space="preserve">Both classes exhibit relaxation dynamics: rather than sitting in a fixed equilibrium, the double layer’s potential structure can oscillate, collapse, and re-form (“double-layer spitting”), coupled to downstream ion-acoustic wave activity. These oscillations are routinely time-resolved with fast Langmuir probes and correlated optical diagnostics, and their frequency and amplitude are known to depend continuously on discharge power, neutral pressure, and magnetic-field strength within standard fluid and particle-in-cell models of the discharge.</w:t>
      </w:r>
    </w:p>
    <w:p>
      <w:pPr>
        <w:pStyle w:val="Heading1"/>
        <w:pBdr>
          <w:bottom w:val="single" w:color="B8922B" w:sz="6" w:space="4"/>
        </w:pBdr>
        <w:spacing w:after="200" w:before="400"/>
      </w:pPr>
      <w:r>
        <w:rPr>
          <w:rFonts w:ascii="Arial" w:cs="Arial" w:eastAsia="Arial" w:hAnsi="Arial"/>
          <w:b/>
          <w:bCs/>
          <w:color w:val="1B2A4A"/>
          <w:sz w:val="26"/>
          <w:szCs w:val="26"/>
        </w:rPr>
        <w:t xml:space="preserve">III. Order-Parameter Structure of a Double Layer</w:t>
      </w:r>
    </w:p>
    <w:p>
      <w:pPr>
        <w:spacing w:after="200" w:line="276"/>
        <w:jc w:val="both"/>
      </w:pPr>
      <w:r>
        <w:rPr>
          <w:rFonts w:ascii="Palatino Linotype" w:cs="Palatino Linotype" w:eastAsia="Palatino Linotype" w:hAnsi="Palatino Linotype"/>
          <w:sz w:val="22"/>
          <w:szCs w:val="22"/>
        </w:rPr>
        <w:t xml:space="preserve">For the purposes of a Phase Mechanics correspondence, the relevant description of a double layer is not its full kinetic distribution function but its coarse-grained potential and density profile, φ(x) and n(x), across the transition region. Because the structure is bounded, localized, and possesses a well-defined characteristic amplitude (the potential drop, normalized to the local electron temperature) and a well-defined characteristic phase (the relative timing of the potential oscillation with respect to the downstream ion-acoustic wave train during a spitting cycle), the pair can be packaged as a single complex order parameter:</w:t>
      </w:r>
    </w:p>
    <w:p>
      <w:pPr>
        <w:spacing w:after="160" w:before="160"/>
        <w:jc w:val="center"/>
      </w:pPr>
      <w:r>
        <w:rPr>
          <w:rFonts w:ascii="Cambria Math" w:cs="Cambria Math" w:eastAsia="Cambria Math" w:hAnsi="Cambria Math"/>
          <w:i/>
          <w:iCs/>
          <w:sz w:val="22"/>
          <w:szCs w:val="22"/>
        </w:rPr>
        <w:t xml:space="preserve">ψ(t) = A(t)·e^{iθ(t)},   A(t) ∝ eΔφ(t) / k_BT_e</w:t>
      </w:r>
    </w:p>
    <w:p>
      <w:pPr>
        <w:spacing w:after="200" w:line="276"/>
        <w:jc w:val="both"/>
      </w:pPr>
      <w:r>
        <w:rPr>
          <w:rFonts w:ascii="Palatino Linotype" w:cs="Palatino Linotype" w:eastAsia="Palatino Linotype" w:hAnsi="Palatino Linotype"/>
          <w:sz w:val="22"/>
          <w:szCs w:val="22"/>
        </w:rPr>
        <w:t xml:space="preserve">Standard double-layer theory treats A(t) and θ(t) as independently evolving, continuously variable fluid quantities with no constraint linking them beyond the discharge equations of motion. This is the baseline against which a Phase Mechanics correspondence must be distinguished if it is to be more than relabeling.</w:t>
      </w:r>
    </w:p>
    <w:p>
      <w:pPr>
        <w:pStyle w:val="Heading1"/>
        <w:pBdr>
          <w:bottom w:val="single" w:color="B8922B" w:sz="6" w:space="4"/>
        </w:pBdr>
        <w:spacing w:after="200" w:before="400"/>
      </w:pPr>
      <w:r>
        <w:rPr>
          <w:rFonts w:ascii="Arial" w:cs="Arial" w:eastAsia="Arial" w:hAnsi="Arial"/>
          <w:b/>
          <w:bCs/>
          <w:color w:val="1B2A4A"/>
          <w:sz w:val="26"/>
          <w:szCs w:val="26"/>
        </w:rPr>
        <w:t xml:space="preserve">IV. Correspondence to the Phase Configuration Manifold</w:t>
      </w:r>
    </w:p>
    <w:p>
      <w:pPr>
        <w:spacing w:after="200" w:line="276"/>
        <w:jc w:val="both"/>
      </w:pPr>
      <w:r>
        <w:rPr>
          <w:rFonts w:ascii="Palatino Linotype" w:cs="Palatino Linotype" w:eastAsia="Palatino Linotype" w:hAnsi="Palatino Linotype"/>
          <w:sz w:val="22"/>
          <w:szCs w:val="22"/>
        </w:rPr>
        <w:t xml:space="preserve">Phase Mechanics represents a phaset’s configuration as a point on the Phase Configuration Manifold, a stratified fiber bundle in which coherence amplitude and topological sector are independent coordinates. The proposed correspondence identifies A(t) with the coherence-amplitude coordinate and θ(t) with a fiber coordinate over a base labeled by the double layer’s topological sector — informally, the number of times the local potential structure has undergone a full spitting-and-reformation cycle since the discharge was struck.</w:t>
      </w:r>
    </w:p>
    <w:p>
      <w:pPr>
        <w:spacing w:after="200" w:line="276"/>
        <w:jc w:val="both"/>
      </w:pPr>
      <w:r>
        <w:rPr>
          <w:rFonts w:ascii="Palatino Linotype" w:cs="Palatino Linotype" w:eastAsia="Palatino Linotype" w:hAnsi="Palatino Linotype"/>
          <w:sz w:val="22"/>
          <w:szCs w:val="22"/>
        </w:rPr>
        <w:t xml:space="preserve">Under this correspondence, a double layer with frozen coherence amplitude (a stable, non-spitting double layer held at fixed discharge parameters) and trivial topological sector is the direct laboratory analogue of the qubit-like phaset already formalized in the Phase Mechanics core papers. A spitting, relaxation-oscillating double layer is the analogue of a phaset undergoing forced transitions between topological sectors. The correspondence is proposed, not assumed: Section VI specifies the observable that would distinguish it from ordinary double-layer relaxation dynamics.</w:t>
      </w:r>
    </w:p>
    <w:p>
      <w:pPr>
        <w:pStyle w:val="Heading1"/>
        <w:pBdr>
          <w:bottom w:val="single" w:color="B8922B" w:sz="6" w:space="4"/>
        </w:pBdr>
        <w:spacing w:after="200" w:before="400"/>
      </w:pPr>
      <w:r>
        <w:rPr>
          <w:rFonts w:ascii="Arial" w:cs="Arial" w:eastAsia="Arial" w:hAnsi="Arial"/>
          <w:b/>
          <w:bCs/>
          <w:color w:val="1B2A4A"/>
          <w:sz w:val="26"/>
          <w:szCs w:val="26"/>
        </w:rPr>
        <w:t xml:space="preserve">V. Phason and Amplitudon Analogues in Relaxation Oscillations</w:t>
      </w:r>
    </w:p>
    <w:p>
      <w:pPr>
        <w:spacing w:after="200" w:line="276"/>
        <w:jc w:val="both"/>
      </w:pPr>
      <w:r>
        <w:rPr>
          <w:rFonts w:ascii="Palatino Linotype" w:cs="Palatino Linotype" w:eastAsia="Palatino Linotype" w:hAnsi="Palatino Linotype"/>
          <w:sz w:val="22"/>
          <w:szCs w:val="22"/>
        </w:rPr>
        <w:t xml:space="preserve">Phase Theory’s two characteristic quasiparticle excitations, the phason (a phase-only fluctuation of the substrate) and the amplitudon (an amplitude-only fluctuation), have established analogues in charge-density-wave systems, where they are directly measured by neutron scattering and terahertz conductivity. The double-layer correspondence proposed here suggests an analogous decomposition of small perturbations to ψ(t): amplitude-only perturbations correspond to changes in the potential-drop magnitude at fixed spitting phase (an amplitudon-like mode), while phase-only perturbations correspond to a shift in the timing of the spitting cycle at fixed potential-drop magnitude (a phason-like mode).</w:t>
      </w:r>
    </w:p>
    <w:p>
      <w:pPr>
        <w:spacing w:after="200" w:line="276"/>
        <w:jc w:val="both"/>
      </w:pPr>
      <w:r>
        <w:rPr>
          <w:rFonts w:ascii="Palatino Linotype" w:cs="Palatino Linotype" w:eastAsia="Palatino Linotype" w:hAnsi="Palatino Linotype"/>
          <w:sz w:val="22"/>
          <w:szCs w:val="22"/>
        </w:rPr>
        <w:t xml:space="preserve">This decomposition is falsifiable in a specific way: standard double-layer theory has no structural reason for these two perturbation classes to relax at different rates or respond differently to a common external drive, since both are simply components of the same fluid state vector. If the phaset correspondence is physically real rather than a relabeling, the phason-like (phase) mode should show a measurably different damping rate, and a different response to a weak external RF perturbation applied at the spitting frequency, than the amplitudon-like (amplitude) mode. A null result — identical damping and response for both — would be evidence against the correspondence, not merely inconclusive.</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spacing w:after="200" w:line="276"/>
        <w:jc w:val="both"/>
      </w:pPr>
      <w:r>
        <w:rPr>
          <w:rFonts w:ascii="Palatino Linotype" w:cs="Palatino Linotype" w:eastAsia="Palatino Linotype" w:hAnsi="Palatino Linotype"/>
          <w:sz w:val="22"/>
          <w:szCs w:val="22"/>
        </w:rPr>
        <w:t xml:space="preserve">Two predictions are specified, each stated alongside the standard-theory expectation it is tested against.</w:t>
      </w:r>
    </w:p>
    <w:p>
      <w:pPr>
        <w:pStyle w:val="Heading2"/>
        <w:spacing w:after="140" w:before="260"/>
      </w:pPr>
      <w:r>
        <w:rPr>
          <w:rFonts w:ascii="Arial" w:cs="Arial" w:eastAsia="Arial" w:hAnsi="Arial"/>
          <w:b/>
          <w:bCs/>
          <w:color w:val="1B2A4A"/>
          <w:sz w:val="22"/>
          <w:szCs w:val="22"/>
        </w:rPr>
        <w:t xml:space="preserve">Prediction 1 — Quantized phase winding</w:t>
      </w:r>
    </w:p>
    <w:p>
      <w:pPr>
        <w:spacing w:after="200" w:line="276"/>
        <w:jc w:val="both"/>
      </w:pPr>
      <w:r>
        <w:rPr>
          <w:rFonts w:ascii="Palatino Linotype" w:cs="Palatino Linotype" w:eastAsia="Palatino Linotype" w:hAnsi="Palatino Linotype"/>
          <w:sz w:val="22"/>
          <w:szCs w:val="22"/>
        </w:rPr>
        <w:t xml:space="preserve">Phase Mechanics’ topological-sector structure predicts that, over an extended run of double-layer spitting cycles, the accumulated phase θ(t) — the running total of relative timing offset between the potential oscillation and the downstream ion-acoustic wave train — should advance in discrete steps clustered near integer multiples of 2π, with a measurably sub-Poissonian variance in step size, rather than drifting continuously. Standard fluid and particle-in-cell double-layer models predict a continuously variable relaxation frequency set by local discharge parameters, with no mechanism to enforce discrete step sizes or suppressed variance in accumulated phase.</w:t>
      </w:r>
    </w:p>
    <w:p>
      <w:pPr>
        <w:pStyle w:val="Heading2"/>
        <w:spacing w:after="140" w:before="260"/>
      </w:pPr>
      <w:r>
        <w:rPr>
          <w:rFonts w:ascii="Arial" w:cs="Arial" w:eastAsia="Arial" w:hAnsi="Arial"/>
          <w:b/>
          <w:bCs/>
          <w:color w:val="1B2A4A"/>
          <w:sz w:val="22"/>
          <w:szCs w:val="22"/>
        </w:rPr>
        <w:t xml:space="preserve">Prediction 2 — Differential damping of amplitude- and phase-perturbations</w:t>
      </w:r>
    </w:p>
    <w:p>
      <w:pPr>
        <w:spacing w:after="200" w:line="276"/>
        <w:jc w:val="both"/>
      </w:pPr>
      <w:r>
        <w:rPr>
          <w:rFonts w:ascii="Palatino Linotype" w:cs="Palatino Linotype" w:eastAsia="Palatino Linotype" w:hAnsi="Palatino Linotype"/>
          <w:sz w:val="22"/>
          <w:szCs w:val="22"/>
        </w:rPr>
        <w:t xml:space="preserve">As set out in Section V, a weak external perturbation applied near the natural spitting frequency should couple asymmetrically to amplitude and phase degrees of freedom under the phaset correspondence, producing measurably different response amplitudes and phase lags in A(t) versus θ(t). Standard theory predicts no such asymmetry: a linear-response treatment of the coupled fluid equations gives comparable coupling to both.</w:t>
      </w:r>
    </w:p>
    <w:p>
      <w:pPr>
        <w:spacing w:after="200" w:line="276"/>
        <w:jc w:val="both"/>
      </w:pPr>
      <w:r>
        <w:rPr>
          <w:rFonts w:ascii="Palatino Linotype" w:cs="Palatino Linotype" w:eastAsia="Palatino Linotype" w:hAnsi="Palatino Linotype"/>
          <w:sz w:val="22"/>
          <w:szCs w:val="22"/>
        </w:rPr>
        <w:t xml:space="preserve">Either prediction, if clearly falsified under the protocol in Section VII, would rule out the correspondence proposed in Sections IV–V without bearing on Phase Mechanics’ core formalism, which does not depend on this particular physical realization.</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Source: a current-free double layer generated at the exit of a helicon-wave source into a lower-density expansion chamber, or a current-driven double layer in a double-plasma device — either geometry is standard laboratory hardware.</w:t>
      </w:r>
    </w:p>
    <w:p>
      <w:pPr>
        <w:pStyle w:val="ListParagraph"/>
        <w:numPr>
          <w:ilvl w:val="0"/>
          <w:numId w:val="2"/>
        </w:numPr>
        <w:spacing w:after="120"/>
      </w:pPr>
      <w:r>
        <w:rPr>
          <w:rFonts w:ascii="Palatino Linotype" w:cs="Palatino Linotype" w:eastAsia="Palatino Linotype" w:hAnsi="Palatino Linotype"/>
          <w:sz w:val="22"/>
          <w:szCs w:val="22"/>
        </w:rPr>
        <w:t xml:space="preserve">Primary diagnostic: fast-swept or triple Langmuir probes positioned upstream and downstream of the double layer, sampled at a rate at least ten times the spitting frequency, to reconstruct φ(x,t) and extract A(t).</w:t>
      </w:r>
    </w:p>
    <w:p>
      <w:pPr>
        <w:pStyle w:val="ListParagraph"/>
        <w:numPr>
          <w:ilvl w:val="0"/>
          <w:numId w:val="2"/>
        </w:numPr>
        <w:spacing w:after="120"/>
      </w:pPr>
      <w:r>
        <w:rPr>
          <w:rFonts w:ascii="Palatino Linotype" w:cs="Palatino Linotype" w:eastAsia="Palatino Linotype" w:hAnsi="Palatino Linotype"/>
          <w:sz w:val="22"/>
          <w:szCs w:val="22"/>
        </w:rPr>
        <w:t xml:space="preserve">Phase reconstruction: laser-induced fluorescence on the downstream ion beam, time-correlated with the probe signal, to extract the relative timing θ(t) between potential collapse and ion-acoustic wave emission.</w:t>
      </w:r>
    </w:p>
    <w:p>
      <w:pPr>
        <w:pStyle w:val="ListParagraph"/>
        <w:numPr>
          <w:ilvl w:val="0"/>
          <w:numId w:val="2"/>
        </w:numPr>
        <w:spacing w:after="120"/>
      </w:pPr>
      <w:r>
        <w:rPr>
          <w:rFonts w:ascii="Palatino Linotype" w:cs="Palatino Linotype" w:eastAsia="Palatino Linotype" w:hAnsi="Palatino Linotype"/>
          <w:sz w:val="22"/>
          <w:szCs w:val="22"/>
        </w:rPr>
        <w:t xml:space="preserve">Perturbation: a weak RF signal capacitively coupled near the natural spitting frequency, swept in amplitude from well below to comparable to the natural oscillation amplitude, to test Prediction 2.</w:t>
      </w:r>
    </w:p>
    <w:p>
      <w:pPr>
        <w:pStyle w:val="ListParagraph"/>
        <w:numPr>
          <w:ilvl w:val="0"/>
          <w:numId w:val="2"/>
        </w:numPr>
        <w:spacing w:after="120"/>
      </w:pPr>
      <w:r>
        <w:rPr>
          <w:rFonts w:ascii="Palatino Linotype" w:cs="Palatino Linotype" w:eastAsia="Palatino Linotype" w:hAnsi="Palatino Linotype"/>
          <w:sz w:val="22"/>
          <w:szCs w:val="22"/>
        </w:rPr>
        <w:t xml:space="preserve">Statistics: accumulation of at least several thousand spitting cycles per discharge-parameter setting, across a scan of neutral pressure and source power, to build the step-size distribution required to test Prediction 1 against a null (continuous-drift) model.</w:t>
      </w:r>
    </w:p>
    <w:p>
      <w:pPr>
        <w:pStyle w:val="ListParagraph"/>
        <w:numPr>
          <w:ilvl w:val="0"/>
          <w:numId w:val="2"/>
        </w:numPr>
        <w:spacing w:after="120"/>
      </w:pPr>
      <w:r>
        <w:rPr>
          <w:rFonts w:ascii="Palatino Linotype" w:cs="Palatino Linotype" w:eastAsia="Palatino Linotype" w:hAnsi="Palatino Linotype"/>
          <w:sz w:val="22"/>
          <w:szCs w:val="22"/>
        </w:rPr>
        <w:t xml:space="preserve">Control: an equivalent run in a discharge regime where double-layer formation is suppressed (parameters below the current-free double-layer threshold), to confirm that any observed quantization is tied to the double-layer structure itself and not an artifact of the diagnostic chain.</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The six Phase DiVincenzo Criteria (PDC-1–PDC-6) specify what a candidate physical system must demonstrate to count as a realization of a phaset rather than an analogy. This note claims only a partial and provisional match: a current-free double layer at fixed discharge parameters plausibly satisfies the criteria bearing on well-characterized initial state and controllable coherence amplitude (via source power), since these are already routine in the existing double-layer literature. The criteria bearing on controlled coupling between distinct phasets and on read-out fidelity of the topological sector are not yet addressed by any existing double-layer experiment and would require the perturbation and phase-reconstruction protocol of Section VII to be demonstrated before a claim of full PDC compliance could be made. This note should be read as establishing candidacy, not compliance.</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The correspondence proposed here is deliberately narrow. It does not extend to any claim about plasma behavior at astrophysical scale, and in particular carries no implication for stellar structure or stellar energy generation, which lie outside its scope entirely. Within its own scope, the correspondence is falsified if either prediction in Section VI fails under the protocol of Section VII: specifically, if the accumulated phase θ(t) is found to drift continuously with a variance consistent with a Poissonian or otherwise unstructured process, or if amplitude- and phase-like perturbations show statistically indistinguishable damping and response. A null result on both predictions would indicate that the double layer, whatever its merits as a self-organizing plasma structure, is not a productive terrestrial realization of the phaset, and the search for a Phase Mechanics probe should proceed with the charge-density-wave, Josephson-junction, or superfluid-vortex candidates addressed in companion notes.</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Laboratory double layers offer a fast, reproducible, well-instrumented terrestrial system in which a phase-and-amplitude order parameter can be perturbed and measured directly, in contrast to the indirect and slow inference required of any astrophysical plasma system. This note has proposed a specific, falsifiable correspondence between double-layer relaxation dynamics and the Phase Mechanics phaset formalism, specified two predictions that diverge from standard double-layer theory, and laid out a diagnostic protocol capable of testing them with existing laboratory hardware. The proposal stands or falls on its own experimental merits and carries no claim about, and requires no appeal to, any astrophysical system.</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Langmuir, I. “The interaction of electron and positive ion space charges in cathode sheaths.” Physical Review 33, 954 (1929).</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Block, L. P. “A double layer review.” Astrophysics and Space Science 55, 59–83 (1978).</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Raadu, M. A. “The physics of double layers and their role in astrophysics.” Physics Reports 178, 25–97 (1989).</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Charles, C. and Boswell, R. W. “Current-free double-layer formation in a high-density helicon discharge.” Applied Physics Letters 82, 1356 (2003).</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Chen, F. F. Introduction to Plasma Physics and Controlled Fusion, 3rd ed. Springer (2016).</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PM-2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2026-07-26T05:48:32.429Z</dcterms:created>
  <dcterms:modified xsi:type="dcterms:W3CDTF">2026-07-26T05:48:32.441Z</dcterms:modified>
</cp:coreProperties>
</file>

<file path=docProps/custom.xml><?xml version="1.0" encoding="utf-8"?>
<Properties xmlns="http://schemas.openxmlformats.org/officeDocument/2006/custom-properties" xmlns:vt="http://schemas.openxmlformats.org/officeDocument/2006/docPropsVTypes"/>
</file>