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Arial" w:cs="Arial" w:eastAsia="Arial" w:hAnsi="Arial"/>
          <w:b/>
          <w:bCs/>
          <w:color w:val="C9A84C"/>
          <w:sz w:val="20"/>
          <w:szCs w:val="20"/>
        </w:rPr>
        <w:t xml:space="preserve">SR-4</w:t>
      </w:r>
    </w:p>
    <w:p>
      <w:pPr>
        <w:spacing w:after="80"/>
        <w:jc w:val="center"/>
      </w:pPr>
      <w:r>
        <w:rPr>
          <w:rFonts w:ascii="Arial" w:cs="Arial" w:eastAsia="Arial" w:hAnsi="Arial"/>
          <w:b/>
          <w:bCs/>
          <w:color w:val="0B1F3A"/>
          <w:sz w:val="34"/>
          <w:szCs w:val="34"/>
        </w:rPr>
        <w:t xml:space="preserve">Cold-Atom SU(N) Simulators as a Proposal-Stage Realization of the Spectron Matrix Sector</w:t>
      </w:r>
    </w:p>
    <w:p>
      <w:pPr>
        <w:spacing w:after="300"/>
        <w:jc w:val="center"/>
      </w:pPr>
      <w:r>
        <w:rPr>
          <w:rFonts w:ascii="Arial" w:cs="Arial" w:eastAsia="Arial" w:hAnsi="Arial"/>
          <w:i/>
          <w:iCs/>
          <w:color w:val="3A3A3A"/>
          <w:sz w:val="24"/>
          <w:szCs w:val="24"/>
        </w:rPr>
        <w:t xml:space="preserve">A Deployment Note for Spectral Resonance String Mechanics (SRSM)</w:t>
      </w:r>
    </w:p>
    <w:p>
      <w:pPr>
        <w:spacing w:after="40"/>
        <w:jc w:val="center"/>
      </w:pPr>
      <w:r>
        <w:rPr>
          <w:rFonts w:ascii="Palatino Linotype" w:cs="Palatino Linotype" w:eastAsia="Palatino Linotype" w:hAnsi="Palatino Linotype"/>
          <w:b/>
          <w:bCs/>
          <w:sz w:val="24"/>
          <w:szCs w:val="24"/>
        </w:rPr>
        <w:t xml:space="preserve">M. Brownlee</w:t>
      </w:r>
    </w:p>
    <w:p>
      <w:pPr>
        <w:spacing w:after="40"/>
        <w:jc w:val="center"/>
      </w:pPr>
      <w:r>
        <w:rPr>
          <w:rFonts w:ascii="Palatino Linotype" w:cs="Palatino Linotype" w:eastAsia="Palatino Linotype" w:hAnsi="Palatino Linotype"/>
          <w:i/>
          <w:iCs/>
          <w:sz w:val="20"/>
          <w:szCs w:val="20"/>
        </w:rPr>
        <w:t xml:space="preserve">Dust Research Division — Experimental Deployment Group</w:t>
      </w:r>
    </w:p>
    <w:p>
      <w:pPr>
        <w:spacing w:after="400"/>
        <w:jc w:val="center"/>
      </w:pPr>
      <w:r>
        <w:rPr>
          <w:rFonts w:ascii="Palatino Linotype" w:cs="Palatino Linotype" w:eastAsia="Palatino Linotype" w:hAnsi="Palatino Linotype"/>
          <w:color w:val="6A6A6A"/>
          <w:sz w:val="20"/>
          <w:szCs w:val="20"/>
        </w:rPr>
        <w:t xml:space="preserve">Preprint SR-2026-004  •  August 10, 2026</w:t>
      </w:r>
    </w:p>
    <w:p>
      <w:pPr>
        <w:pBdr>
          <w:left w:val="single" w:color="C9A84C" w:sz="24" w:space="8"/>
        </w:pBdr>
        <w:shd w:fill="F2ECD9" w:val="clear"/>
        <w:spacing w:after="200" w:before="200" w:line="276"/>
        <w:ind w:left="200" w:right="200"/>
      </w:pPr>
      <w:r>
        <w:rPr>
          <w:rFonts w:ascii="Palatino Linotype" w:cs="Palatino Linotype" w:eastAsia="Palatino Linotype" w:hAnsi="Palatino Linotype"/>
          <w:i/>
          <w:iCs/>
          <w:color w:val="3A3A3A"/>
          <w:sz w:val="21"/>
          <w:szCs w:val="21"/>
        </w:rPr>
        <w:t xml:space="preserve">Status note: This deployment track is existence-contingent, in the same sense flagged for PM-11 (Majorana zero modes) in the Phase Mechanics series. No experiment realizing the full protocol below has yet been performed; the relevant cold-atom SU(N) platforms exist and are experimentally mature, but their use as a matrix-quantum-mechanics simulator in the specific sense SRSM requires is, at present, a theoretical proposal rather than a demonstrated capability. All claims in this note should be read as gated on that caveat.</w:t>
      </w:r>
    </w:p>
    <w:p>
      <w:pPr>
        <w:pStyle w:val="Heading2"/>
        <w:spacing w:after="150" w:before="300"/>
      </w:pPr>
      <w:r>
        <w:rPr>
          <w:rFonts w:ascii="Arial" w:cs="Arial" w:eastAsia="Arial" w:hAnsi="Arial"/>
          <w:b/>
          <w:bCs/>
          <w:color w:val="0B1F3A"/>
          <w:sz w:val="24"/>
          <w:szCs w:val="24"/>
        </w:rPr>
        <w:t xml:space="preserve">Abstract</w:t>
      </w:r>
    </w:p>
    <w:p>
      <w:pPr>
        <w:spacing w:after="300" w:before="0" w:line="288"/>
        <w:jc w:val="both"/>
      </w:pPr>
      <w:r>
        <w:rPr>
          <w:rFonts w:ascii="Palatino Linotype" w:cs="Palatino Linotype" w:eastAsia="Palatino Linotype" w:hAnsi="Palatino Linotype"/>
          <w:color w:val="1A1A1A"/>
          <w:sz w:val="22"/>
          <w:szCs w:val="22"/>
        </w:rPr>
        <w:t xml:space="preserve">SR-1 through SR-3 access the Spectron through its eigenvalue sector (position, resonance-lattice locking, static repulsion statistics) or through proxy coupling structures. None directly realizes the object SRSM actually posits as fundamental: the full N×N Hermitian matrix field 𝔇ᴵ(σ,τ), including its off-diagonal entries, prior to diagonalization. This note proposes cold-atom platforms with SU(N)-symmetric internal level structure — already realized experimentally for alkaline-earth(-like) atoms such as ytterbium-173 and strontium-87 — as the most direct available route to a genuine matrix-quantum-mechanics simulator, in the spirit of existing theoretical proposals for simulating SU(N) Hubbard and matrix models with ultracold atoms. We map each SU(N) atomic internal state onto a matrix index, propose using multi-atom clusters in optical lattice or tweezer-array sites to realize 𝔇ᴵ's matrix structure directly, and outline how the off-diagonal (coherence) content of 𝔇ᴵ could in principle be read out via internal-state interferometry. This is the deployment track most structurally faithful to SRSM's actual matrix-model content, and simultaneously the least experimentally mature of the four platforms proposed to date.</w:t>
      </w:r>
    </w:p>
    <w:p>
      <w:pPr>
        <w:pStyle w:val="Heading1"/>
        <w:pBdr>
          <w:bottom w:val="single" w:color="C9A84C" w:sz="8" w:space="4"/>
        </w:pBdr>
        <w:spacing w:after="200" w:before="400"/>
      </w:pPr>
      <w:r>
        <w:rPr>
          <w:rFonts w:ascii="Arial" w:cs="Arial" w:eastAsia="Arial" w:hAnsi="Arial"/>
          <w:b/>
          <w:bCs/>
          <w:color w:val="0B1F3A"/>
          <w:sz w:val="30"/>
          <w:szCs w:val="30"/>
        </w:rPr>
        <w:t xml:space="preserve">1. Introduction</w:t>
      </w:r>
    </w:p>
    <w:p>
      <w:pPr>
        <w:spacing w:after="200" w:before="0" w:line="288"/>
        <w:jc w:val="both"/>
      </w:pPr>
      <w:r>
        <w:rPr>
          <w:rFonts w:ascii="Palatino Linotype" w:cs="Palatino Linotype" w:eastAsia="Palatino Linotype" w:hAnsi="Palatino Linotype"/>
          <w:color w:val="1A1A1A"/>
          <w:sz w:val="22"/>
          <w:szCs w:val="22"/>
        </w:rPr>
        <w:t xml:space="preserve">SRSM's central claim (Section 2.1 of the mechanics paper) is that the string worldsheet is built not from an embedding coordinate but from a Hermitian matrix field 𝔇ᴵ(σ,τ), with eigenvalues that only later become spacetime coordinates. SR-1 through SR-3 all work in the diagonalized (eigenvalue) sector of this object, or access off-diagonal structure only indirectly, through coupling-induced coherence between otherwise separately-addressed constituents. None of them puts a matrix degree of freedom — a genuine 𝔇ᴵ_ab with both indices independently controllable — in the laboratory.</w:t>
      </w:r>
    </w:p>
    <w:p>
      <w:pPr>
        <w:spacing w:after="200" w:before="0" w:line="288"/>
        <w:jc w:val="both"/>
      </w:pPr>
      <w:r>
        <w:rPr>
          <w:rFonts w:ascii="Palatino Linotype" w:cs="Palatino Linotype" w:eastAsia="Palatino Linotype" w:hAnsi="Palatino Linotype"/>
          <w:color w:val="1A1A1A"/>
          <w:sz w:val="22"/>
          <w:szCs w:val="22"/>
        </w:rPr>
        <w:t xml:space="preserve">SR-4 asks what platform could do this directly. The candidate we propose is a cold-atom system in which each atom carries not two but N internal (hyperfine or nuclear-spin) states related by an SU(N) symmetry, so that a single atom's internal state manifold already furnishes the index structure of an N-dimensional matrix. This is not a new idea in atomic physics — SU(N) magnetism with ultracold alkaline-earth(-like) atoms is an active, if still developing, experimental subfield — but its use as a laboratory analogue of a matrix-model resonance operator, in the specific SRSM sense, has not previously been proposed and is put forward here for the first time as a deployment target.</w:t>
      </w:r>
    </w:p>
    <w:p>
      <w:pPr>
        <w:pStyle w:val="Heading1"/>
        <w:pBdr>
          <w:bottom w:val="single" w:color="C9A84C" w:sz="8" w:space="4"/>
        </w:pBdr>
        <w:spacing w:after="200" w:before="400"/>
      </w:pPr>
      <w:r>
        <w:rPr>
          <w:rFonts w:ascii="Arial" w:cs="Arial" w:eastAsia="Arial" w:hAnsi="Arial"/>
          <w:b/>
          <w:bCs/>
          <w:color w:val="0B1F3A"/>
          <w:sz w:val="30"/>
          <w:szCs w:val="30"/>
        </w:rPr>
        <w:t xml:space="preserve">2. Recap: The Matrix Sector of SRSM</w:t>
      </w:r>
    </w:p>
    <w:p>
      <w:pPr>
        <w:spacing w:after="200" w:before="0" w:line="288"/>
        <w:jc w:val="both"/>
      </w:pPr>
      <w:r>
        <w:rPr>
          <w:rFonts w:ascii="Palatino Linotype" w:cs="Palatino Linotype" w:eastAsia="Palatino Linotype" w:hAnsi="Palatino Linotype"/>
          <w:color w:val="1A1A1A"/>
          <w:sz w:val="22"/>
          <w:szCs w:val="22"/>
        </w:rPr>
        <w:t xml:space="preserve">The resonance operator is a set of D Hermitian N×N matrix fields on the worldsheet,</w:t>
      </w:r>
    </w:p>
    <w:p>
      <w:pPr>
        <w:spacing w:after="200" w:before="100"/>
        <w:jc w:val="center"/>
      </w:pPr>
      <w:r>
        <w:rPr>
          <w:rFonts w:ascii="Cambria Math" w:cs="Cambria Math" w:eastAsia="Cambria Math" w:hAnsi="Cambria Math"/>
          <w:i/>
          <w:iCs/>
          <w:color w:val="1A1A1A"/>
          <w:sz w:val="22"/>
          <w:szCs w:val="22"/>
        </w:rPr>
        <w:t xml:space="preserve">𝔇ᴵ(σ,τ) = (𝔇ᴵ(σ,τ))†,   I = 1,…,D,</w:t>
      </w:r>
    </w:p>
    <w:p>
      <w:pPr>
        <w:spacing w:after="200" w:before="0" w:line="288"/>
        <w:jc w:val="both"/>
      </w:pPr>
      <w:r>
        <w:rPr>
          <w:rFonts w:ascii="Palatino Linotype" w:cs="Palatino Linotype" w:eastAsia="Palatino Linotype" w:hAnsi="Palatino Linotype"/>
          <w:color w:val="1A1A1A"/>
          <w:sz w:val="22"/>
          <w:szCs w:val="22"/>
        </w:rPr>
        <w:t xml:space="preserve">transforming in the adjoint of a local U(N) gauge group, 𝔇ᴵ ↦ U𝔇ᴵU† (Section 2.1 of the mechanics paper). Diagonal entries, in the commuting limit, become Spectron positions λₐ; off-diagonal entries 𝔇ᴵ_ab are coherences between Spectrons a and b, and directly source the emergent spacetime non-commutativity tensor Θ^IJ (Section 2.4.5). A simulator that only ever measures a diagonal spectrum — as in SR-1, SR-2, and, for its native sector, SR-3 — cannot in principle access Θ^IJ directly; it can only infer coherence indirectly through its dynamical consequences. SR-4's motivation is precisely to close this gap.</w:t>
      </w:r>
    </w:p>
    <w:p>
      <w:pPr>
        <w:pStyle w:val="Heading1"/>
        <w:pBdr>
          <w:bottom w:val="single" w:color="C9A84C" w:sz="8" w:space="4"/>
        </w:pBdr>
        <w:spacing w:after="200" w:before="400"/>
      </w:pPr>
      <w:r>
        <w:rPr>
          <w:rFonts w:ascii="Arial" w:cs="Arial" w:eastAsia="Arial" w:hAnsi="Arial"/>
          <w:b/>
          <w:bCs/>
          <w:color w:val="0B1F3A"/>
          <w:sz w:val="30"/>
          <w:szCs w:val="30"/>
        </w:rPr>
        <w:t xml:space="preserve">3. The Cold-Atom SU(N) Platform</w:t>
      </w:r>
    </w:p>
    <w:p>
      <w:pPr>
        <w:pStyle w:val="Heading2"/>
        <w:spacing w:after="150" w:before="300"/>
      </w:pPr>
      <w:r>
        <w:rPr>
          <w:rFonts w:ascii="Arial" w:cs="Arial" w:eastAsia="Arial" w:hAnsi="Arial"/>
          <w:b/>
          <w:bCs/>
          <w:color w:val="0B1F3A"/>
          <w:sz w:val="24"/>
          <w:szCs w:val="24"/>
        </w:rPr>
        <w:t xml:space="preserve">3.1 SU(N) internal structure</w:t>
      </w:r>
    </w:p>
    <w:p>
      <w:pPr>
        <w:spacing w:after="200" w:before="0" w:line="288"/>
        <w:jc w:val="both"/>
      </w:pPr>
      <w:r>
        <w:rPr>
          <w:rFonts w:ascii="Palatino Linotype" w:cs="Palatino Linotype" w:eastAsia="Palatino Linotype" w:hAnsi="Palatino Linotype"/>
          <w:color w:val="1A1A1A"/>
          <w:sz w:val="22"/>
          <w:szCs w:val="22"/>
        </w:rPr>
        <w:t xml:space="preserve">Alkaline-earth(-like) atoms such as ytterbium-173 (nuclear spin I = 5/2, giving 2I+1 = 6 internal states) or fermionic strontium-87 (I = 9/2, giving 10 states) have nuclear-spin sublevels that, to a very good approximation, decouple from the electronic state responsible for interactions. This produces an emergent SU(N) symmetry among the N = 2I+1 nuclear-spin states, already exploited experimentally to realize SU(N) Hubbard models and SU(N) magnetism in optical lattices.</w:t>
      </w:r>
    </w:p>
    <w:p>
      <w:pPr>
        <w:pStyle w:val="Heading2"/>
        <w:spacing w:after="150" w:before="300"/>
      </w:pPr>
      <w:r>
        <w:rPr>
          <w:rFonts w:ascii="Arial" w:cs="Arial" w:eastAsia="Arial" w:hAnsi="Arial"/>
          <w:b/>
          <w:bCs/>
          <w:color w:val="0B1F3A"/>
          <w:sz w:val="24"/>
          <w:szCs w:val="24"/>
        </w:rPr>
        <w:t xml:space="preserve">3.2 Proposed matrix embedding</w:t>
      </w:r>
    </w:p>
    <w:p>
      <w:pPr>
        <w:spacing w:after="200" w:before="0" w:line="288"/>
        <w:jc w:val="both"/>
      </w:pPr>
      <w:r>
        <w:rPr>
          <w:rFonts w:ascii="Palatino Linotype" w:cs="Palatino Linotype" w:eastAsia="Palatino Linotype" w:hAnsi="Palatino Linotype"/>
          <w:color w:val="1A1A1A"/>
          <w:sz w:val="22"/>
          <w:szCs w:val="22"/>
        </w:rPr>
        <w:t xml:space="preserve">SR-4 proposes associating each of the N nuclear-spin sublevels of a trapped atom (or ensemble of atoms at a lattice/tweezer site) with one index of the SRSM matrix 𝔇ᴵ_ab, so that a two-body interaction or laser-induced coupling connecting sublevels a and b of an atom (or atom pair) realizes the off-diagonal matrix element 𝔇ᴵ_ab directly, rather than as an inferred coupling between two otherwise-independent constituents as in SR-1/SR-3.</w:t>
      </w:r>
    </w:p>
    <w:p>
      <w:pPr>
        <w:pStyle w:val="Heading2"/>
        <w:spacing w:after="150" w:before="300"/>
      </w:pPr>
      <w:r>
        <w:rPr>
          <w:rFonts w:ascii="Arial" w:cs="Arial" w:eastAsia="Arial" w:hAnsi="Arial"/>
          <w:b/>
          <w:bCs/>
          <w:color w:val="0B1F3A"/>
          <w:sz w:val="24"/>
          <w:szCs w:val="24"/>
        </w:rPr>
        <w:t xml:space="preserve">3.3 Worldsheet discretization</w:t>
      </w:r>
    </w:p>
    <w:p>
      <w:pPr>
        <w:spacing w:after="200" w:before="0" w:line="288"/>
        <w:jc w:val="both"/>
      </w:pPr>
      <w:r>
        <w:rPr>
          <w:rFonts w:ascii="Palatino Linotype" w:cs="Palatino Linotype" w:eastAsia="Palatino Linotype" w:hAnsi="Palatino Linotype"/>
          <w:color w:val="1A1A1A"/>
          <w:sz w:val="22"/>
          <w:szCs w:val="22"/>
        </w:rPr>
        <w:t xml:space="preserve">An optical lattice or tweezer array along one spatial direction provides the discretized worldsheet coordinate σ, with tunable tunneling between sites playing the role of the ∂σ term in the SRSM action (Section 3.1 of the mechanics paper); time τ is the ordinary evolution time of the cold-atom experiment.</w:t>
      </w:r>
    </w:p>
    <w:p>
      <w:pPr>
        <w:pStyle w:val="Heading1"/>
        <w:pBdr>
          <w:bottom w:val="single" w:color="C9A84C" w:sz="8" w:space="4"/>
        </w:pBdr>
        <w:spacing w:after="200" w:before="400"/>
      </w:pPr>
      <w:r>
        <w:rPr>
          <w:rFonts w:ascii="Arial" w:cs="Arial" w:eastAsia="Arial" w:hAnsi="Arial"/>
          <w:b/>
          <w:bCs/>
          <w:color w:val="0B1F3A"/>
          <w:sz w:val="30"/>
          <w:szCs w:val="30"/>
        </w:rPr>
        <w:t xml:space="preserve">4. Mapping Dictionary: SRSM ↔ Cold-Atom SU(N) System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00"/>
        <w:gridCol w:w="3100"/>
        <w:gridCol w:w="3150"/>
      </w:tblGrid>
      <w:tr>
        <w:trPr>
          <w:tblHeader/>
        </w:trPr>
        <w:tc>
          <w:tcPr>
            <w:tcW w:type="dxa" w:w="3100"/>
            <w:shd w:fill="0B1F3A" w:val="clear"/>
            <w:tcMar>
              <w:top w:type="dxa" w:w="80"/>
              <w:left w:type="dxa" w:w="100"/>
              <w:bottom w:type="dxa" w:w="80"/>
              <w:right w:type="dxa" w:w="100"/>
            </w:tcMar>
            <w:vAlign w:val="center"/>
          </w:tcPr>
          <w:p>
            <w:r>
              <w:rPr>
                <w:rFonts w:ascii="Arial" w:cs="Arial" w:eastAsia="Arial" w:hAnsi="Arial"/>
                <w:b/>
                <w:bCs/>
                <w:color w:val="FFFFFF"/>
                <w:sz w:val="20"/>
                <w:szCs w:val="20"/>
              </w:rPr>
              <w:t xml:space="preserve">SRSM object</w:t>
            </w:r>
          </w:p>
        </w:tc>
        <w:tc>
          <w:tcPr>
            <w:tcW w:type="dxa" w:w="3100"/>
            <w:shd w:fill="0B1F3A" w:val="clear"/>
            <w:tcMar>
              <w:top w:type="dxa" w:w="80"/>
              <w:left w:type="dxa" w:w="100"/>
              <w:bottom w:type="dxa" w:w="80"/>
              <w:right w:type="dxa" w:w="100"/>
            </w:tcMar>
            <w:vAlign w:val="center"/>
          </w:tcPr>
          <w:p>
            <w:r>
              <w:rPr>
                <w:rFonts w:ascii="Arial" w:cs="Arial" w:eastAsia="Arial" w:hAnsi="Arial"/>
                <w:b/>
                <w:bCs/>
                <w:color w:val="FFFFFF"/>
                <w:sz w:val="20"/>
                <w:szCs w:val="20"/>
              </w:rPr>
              <w:t xml:space="preserve">Cold-atom realization (proposed)</w:t>
            </w:r>
          </w:p>
        </w:tc>
        <w:tc>
          <w:tcPr>
            <w:tcW w:type="dxa" w:w="3150"/>
            <w:shd w:fill="0B1F3A" w:val="clear"/>
            <w:tcMar>
              <w:top w:type="dxa" w:w="80"/>
              <w:left w:type="dxa" w:w="100"/>
              <w:bottom w:type="dxa" w:w="80"/>
              <w:right w:type="dxa" w:w="100"/>
            </w:tcMar>
            <w:vAlign w:val="center"/>
          </w:tcPr>
          <w:p>
            <w:r>
              <w:rPr>
                <w:rFonts w:ascii="Arial" w:cs="Arial" w:eastAsia="Arial" w:hAnsi="Arial"/>
                <w:b/>
                <w:bCs/>
                <w:color w:val="FFFFFF"/>
                <w:sz w:val="20"/>
                <w:szCs w:val="20"/>
              </w:rPr>
              <w:t xml:space="preserve">Notes</w:t>
            </w:r>
          </w:p>
        </w:tc>
      </w:tr>
      <w:tr>
        <w:tc>
          <w:tcPr>
            <w:tcW w:type="dxa" w:w="3100"/>
            <w:tcMar>
              <w:top w:type="dxa" w:w="80"/>
              <w:left w:type="dxa" w:w="100"/>
              <w:bottom w:type="dxa" w:w="80"/>
              <w:right w:type="dxa" w:w="100"/>
            </w:tcMar>
            <w:vAlign w:val="center"/>
          </w:tcPr>
          <w:p>
            <w:r>
              <w:rPr>
                <w:rFonts w:ascii="Palatino Linotype" w:cs="Palatino Linotype" w:eastAsia="Palatino Linotype" w:hAnsi="Palatino Linotype"/>
                <w:b w:val="false"/>
                <w:bCs w:val="false"/>
                <w:color w:val="1A1A1A"/>
                <w:sz w:val="20"/>
                <w:szCs w:val="20"/>
              </w:rPr>
              <w:t xml:space="preserve">Matrix index a, b</w:t>
            </w:r>
          </w:p>
        </w:tc>
        <w:tc>
          <w:tcPr>
            <w:tcW w:type="dxa" w:w="3100"/>
            <w:tcMar>
              <w:top w:type="dxa" w:w="80"/>
              <w:left w:type="dxa" w:w="100"/>
              <w:bottom w:type="dxa" w:w="80"/>
              <w:right w:type="dxa" w:w="100"/>
            </w:tcMar>
            <w:vAlign w:val="center"/>
          </w:tcPr>
          <w:p>
            <w:r>
              <w:rPr>
                <w:rFonts w:ascii="Palatino Linotype" w:cs="Palatino Linotype" w:eastAsia="Palatino Linotype" w:hAnsi="Palatino Linotype"/>
                <w:b w:val="false"/>
                <w:bCs w:val="false"/>
                <w:color w:val="1A1A1A"/>
                <w:sz w:val="20"/>
                <w:szCs w:val="20"/>
              </w:rPr>
              <w:t xml:space="preserve">Nuclear-spin sublevel of an SU(N) atom</w:t>
            </w:r>
          </w:p>
        </w:tc>
        <w:tc>
          <w:tcPr>
            <w:tcW w:type="dxa" w:w="3150"/>
            <w:tcMar>
              <w:top w:type="dxa" w:w="80"/>
              <w:left w:type="dxa" w:w="100"/>
              <w:bottom w:type="dxa" w:w="80"/>
              <w:right w:type="dxa" w:w="100"/>
            </w:tcMar>
            <w:vAlign w:val="center"/>
          </w:tcPr>
          <w:p>
            <w:r>
              <w:rPr>
                <w:rFonts w:ascii="Palatino Linotype" w:cs="Palatino Linotype" w:eastAsia="Palatino Linotype" w:hAnsi="Palatino Linotype"/>
                <w:b w:val="false"/>
                <w:bCs w:val="false"/>
                <w:color w:val="1A1A1A"/>
                <w:sz w:val="20"/>
                <w:szCs w:val="20"/>
              </w:rPr>
              <w:t xml:space="preserve">N = 2I+1; e.g. N = 6 for ytterbium-173</w:t>
            </w:r>
          </w:p>
        </w:tc>
      </w:tr>
      <w:tr>
        <w:tc>
          <w:tcPr>
            <w:tcW w:type="dxa" w:w="3100"/>
            <w:tcMar>
              <w:top w:type="dxa" w:w="80"/>
              <w:left w:type="dxa" w:w="100"/>
              <w:bottom w:type="dxa" w:w="80"/>
              <w:right w:type="dxa" w:w="100"/>
            </w:tcMar>
            <w:vAlign w:val="center"/>
          </w:tcPr>
          <w:p>
            <w:r>
              <w:rPr>
                <w:rFonts w:ascii="Palatino Linotype" w:cs="Palatino Linotype" w:eastAsia="Palatino Linotype" w:hAnsi="Palatino Linotype"/>
                <w:b w:val="false"/>
                <w:bCs w:val="false"/>
                <w:color w:val="1A1A1A"/>
                <w:sz w:val="20"/>
                <w:szCs w:val="20"/>
              </w:rPr>
              <w:t xml:space="preserve">Diagonal entry 𝔇ᴵ_aa (→ Spectron λₐ)</w:t>
            </w:r>
          </w:p>
        </w:tc>
        <w:tc>
          <w:tcPr>
            <w:tcW w:type="dxa" w:w="3100"/>
            <w:tcMar>
              <w:top w:type="dxa" w:w="80"/>
              <w:left w:type="dxa" w:w="100"/>
              <w:bottom w:type="dxa" w:w="80"/>
              <w:right w:type="dxa" w:w="100"/>
            </w:tcMar>
            <w:vAlign w:val="center"/>
          </w:tcPr>
          <w:p>
            <w:r>
              <w:rPr>
                <w:rFonts w:ascii="Palatino Linotype" w:cs="Palatino Linotype" w:eastAsia="Palatino Linotype" w:hAnsi="Palatino Linotype"/>
                <w:b w:val="false"/>
                <w:bCs w:val="false"/>
                <w:color w:val="1A1A1A"/>
                <w:sz w:val="20"/>
                <w:szCs w:val="20"/>
              </w:rPr>
              <w:t xml:space="preserve">Sublevel-resolved energy shift / occupation</w:t>
            </w:r>
          </w:p>
        </w:tc>
        <w:tc>
          <w:tcPr>
            <w:tcW w:type="dxa" w:w="3150"/>
            <w:tcMar>
              <w:top w:type="dxa" w:w="80"/>
              <w:left w:type="dxa" w:w="100"/>
              <w:bottom w:type="dxa" w:w="80"/>
              <w:right w:type="dxa" w:w="100"/>
            </w:tcMar>
            <w:vAlign w:val="center"/>
          </w:tcPr>
          <w:p>
            <w:r>
              <w:rPr>
                <w:rFonts w:ascii="Palatino Linotype" w:cs="Palatino Linotype" w:eastAsia="Palatino Linotype" w:hAnsi="Palatino Linotype"/>
                <w:b w:val="false"/>
                <w:bCs w:val="false"/>
                <w:color w:val="1A1A1A"/>
                <w:sz w:val="20"/>
                <w:szCs w:val="20"/>
              </w:rPr>
              <w:t xml:space="preserve">Read out via spin-resolved spectroscopy</w:t>
            </w:r>
          </w:p>
        </w:tc>
      </w:tr>
      <w:tr>
        <w:tc>
          <w:tcPr>
            <w:tcW w:type="dxa" w:w="3100"/>
            <w:tcMar>
              <w:top w:type="dxa" w:w="80"/>
              <w:left w:type="dxa" w:w="100"/>
              <w:bottom w:type="dxa" w:w="80"/>
              <w:right w:type="dxa" w:w="100"/>
            </w:tcMar>
            <w:vAlign w:val="center"/>
          </w:tcPr>
          <w:p>
            <w:r>
              <w:rPr>
                <w:rFonts w:ascii="Palatino Linotype" w:cs="Palatino Linotype" w:eastAsia="Palatino Linotype" w:hAnsi="Palatino Linotype"/>
                <w:b w:val="false"/>
                <w:bCs w:val="false"/>
                <w:color w:val="1A1A1A"/>
                <w:sz w:val="20"/>
                <w:szCs w:val="20"/>
              </w:rPr>
              <w:t xml:space="preserve">Off-diagonal coherence 𝔇ᴵ_ab</w:t>
            </w:r>
          </w:p>
        </w:tc>
        <w:tc>
          <w:tcPr>
            <w:tcW w:type="dxa" w:w="3100"/>
            <w:tcMar>
              <w:top w:type="dxa" w:w="80"/>
              <w:left w:type="dxa" w:w="100"/>
              <w:bottom w:type="dxa" w:w="80"/>
              <w:right w:type="dxa" w:w="100"/>
            </w:tcMar>
            <w:vAlign w:val="center"/>
          </w:tcPr>
          <w:p>
            <w:r>
              <w:rPr>
                <w:rFonts w:ascii="Palatino Linotype" w:cs="Palatino Linotype" w:eastAsia="Palatino Linotype" w:hAnsi="Palatino Linotype"/>
                <w:b w:val="false"/>
                <w:bCs w:val="false"/>
                <w:color w:val="1A1A1A"/>
                <w:sz w:val="20"/>
                <w:szCs w:val="20"/>
              </w:rPr>
              <w:t xml:space="preserve">Laser- or interaction-induced sublevel coupling a↔b</w:t>
            </w:r>
          </w:p>
        </w:tc>
        <w:tc>
          <w:tcPr>
            <w:tcW w:type="dxa" w:w="3150"/>
            <w:tcMar>
              <w:top w:type="dxa" w:w="80"/>
              <w:left w:type="dxa" w:w="100"/>
              <w:bottom w:type="dxa" w:w="80"/>
              <w:right w:type="dxa" w:w="100"/>
            </w:tcMar>
            <w:vAlign w:val="center"/>
          </w:tcPr>
          <w:p>
            <w:r>
              <w:rPr>
                <w:rFonts w:ascii="Palatino Linotype" w:cs="Palatino Linotype" w:eastAsia="Palatino Linotype" w:hAnsi="Palatino Linotype"/>
                <w:b w:val="false"/>
                <w:bCs w:val="false"/>
                <w:color w:val="1A1A1A"/>
                <w:sz w:val="20"/>
                <w:szCs w:val="20"/>
              </w:rPr>
              <w:t xml:space="preserve">Not accessed by SR-1/SR-2/SR-3</w:t>
            </w:r>
          </w:p>
        </w:tc>
      </w:tr>
      <w:tr>
        <w:tc>
          <w:tcPr>
            <w:tcW w:type="dxa" w:w="3100"/>
            <w:tcMar>
              <w:top w:type="dxa" w:w="80"/>
              <w:left w:type="dxa" w:w="100"/>
              <w:bottom w:type="dxa" w:w="80"/>
              <w:right w:type="dxa" w:w="100"/>
            </w:tcMar>
            <w:vAlign w:val="center"/>
          </w:tcPr>
          <w:p>
            <w:r>
              <w:rPr>
                <w:rFonts w:ascii="Palatino Linotype" w:cs="Palatino Linotype" w:eastAsia="Palatino Linotype" w:hAnsi="Palatino Linotype"/>
                <w:b w:val="false"/>
                <w:bCs w:val="false"/>
                <w:color w:val="1A1A1A"/>
                <w:sz w:val="20"/>
                <w:szCs w:val="20"/>
              </w:rPr>
              <w:t xml:space="preserve">U(N) gauge symmetry</w:t>
            </w:r>
          </w:p>
        </w:tc>
        <w:tc>
          <w:tcPr>
            <w:tcW w:type="dxa" w:w="3100"/>
            <w:tcMar>
              <w:top w:type="dxa" w:w="80"/>
              <w:left w:type="dxa" w:w="100"/>
              <w:bottom w:type="dxa" w:w="80"/>
              <w:right w:type="dxa" w:w="100"/>
            </w:tcMar>
            <w:vAlign w:val="center"/>
          </w:tcPr>
          <w:p>
            <w:r>
              <w:rPr>
                <w:rFonts w:ascii="Palatino Linotype" w:cs="Palatino Linotype" w:eastAsia="Palatino Linotype" w:hAnsi="Palatino Linotype"/>
                <w:b w:val="false"/>
                <w:bCs w:val="false"/>
                <w:color w:val="1A1A1A"/>
                <w:sz w:val="20"/>
                <w:szCs w:val="20"/>
              </w:rPr>
              <w:t xml:space="preserve">SU(N) nuclear-spin symmetry of the atomic species</w:t>
            </w:r>
          </w:p>
        </w:tc>
        <w:tc>
          <w:tcPr>
            <w:tcW w:type="dxa" w:w="3150"/>
            <w:tcMar>
              <w:top w:type="dxa" w:w="80"/>
              <w:left w:type="dxa" w:w="100"/>
              <w:bottom w:type="dxa" w:w="80"/>
              <w:right w:type="dxa" w:w="100"/>
            </w:tcMar>
            <w:vAlign w:val="center"/>
          </w:tcPr>
          <w:p>
            <w:r>
              <w:rPr>
                <w:rFonts w:ascii="Palatino Linotype" w:cs="Palatino Linotype" w:eastAsia="Palatino Linotype" w:hAnsi="Palatino Linotype"/>
                <w:b w:val="false"/>
                <w:bCs w:val="false"/>
                <w:color w:val="1A1A1A"/>
                <w:sz w:val="20"/>
                <w:szCs w:val="20"/>
              </w:rPr>
              <w:t xml:space="preserve">Approximate; broken by residual hyperfine terms</w:t>
            </w:r>
          </w:p>
        </w:tc>
      </w:tr>
      <w:tr>
        <w:tc>
          <w:tcPr>
            <w:tcW w:type="dxa" w:w="3100"/>
            <w:tcMar>
              <w:top w:type="dxa" w:w="80"/>
              <w:left w:type="dxa" w:w="100"/>
              <w:bottom w:type="dxa" w:w="80"/>
              <w:right w:type="dxa" w:w="100"/>
            </w:tcMar>
            <w:vAlign w:val="center"/>
          </w:tcPr>
          <w:p>
            <w:r>
              <w:rPr>
                <w:rFonts w:ascii="Palatino Linotype" w:cs="Palatino Linotype" w:eastAsia="Palatino Linotype" w:hAnsi="Palatino Linotype"/>
                <w:b w:val="false"/>
                <w:bCs w:val="false"/>
                <w:color w:val="1A1A1A"/>
                <w:sz w:val="20"/>
                <w:szCs w:val="20"/>
              </w:rPr>
              <w:t xml:space="preserve">Worldsheet coordinate σ</w:t>
            </w:r>
          </w:p>
        </w:tc>
        <w:tc>
          <w:tcPr>
            <w:tcW w:type="dxa" w:w="3100"/>
            <w:tcMar>
              <w:top w:type="dxa" w:w="80"/>
              <w:left w:type="dxa" w:w="100"/>
              <w:bottom w:type="dxa" w:w="80"/>
              <w:right w:type="dxa" w:w="100"/>
            </w:tcMar>
            <w:vAlign w:val="center"/>
          </w:tcPr>
          <w:p>
            <w:r>
              <w:rPr>
                <w:rFonts w:ascii="Palatino Linotype" w:cs="Palatino Linotype" w:eastAsia="Palatino Linotype" w:hAnsi="Palatino Linotype"/>
                <w:b w:val="false"/>
                <w:bCs w:val="false"/>
                <w:color w:val="1A1A1A"/>
                <w:sz w:val="20"/>
                <w:szCs w:val="20"/>
              </w:rPr>
              <w:t xml:space="preserve">Optical lattice / tweezer-array site index</w:t>
            </w:r>
          </w:p>
        </w:tc>
        <w:tc>
          <w:tcPr>
            <w:tcW w:type="dxa" w:w="3150"/>
            <w:tcMar>
              <w:top w:type="dxa" w:w="80"/>
              <w:left w:type="dxa" w:w="100"/>
              <w:bottom w:type="dxa" w:w="80"/>
              <w:right w:type="dxa" w:w="100"/>
            </w:tcMar>
            <w:vAlign w:val="center"/>
          </w:tcPr>
          <w:p>
            <w:r>
              <w:rPr>
                <w:rFonts w:ascii="Palatino Linotype" w:cs="Palatino Linotype" w:eastAsia="Palatino Linotype" w:hAnsi="Palatino Linotype"/>
                <w:b w:val="false"/>
                <w:bCs w:val="false"/>
                <w:color w:val="1A1A1A"/>
                <w:sz w:val="20"/>
                <w:szCs w:val="20"/>
              </w:rPr>
              <w:t xml:space="preserve">Tunneling realizes ∂σ term</w:t>
            </w:r>
          </w:p>
        </w:tc>
      </w:tr>
      <w:tr>
        <w:tc>
          <w:tcPr>
            <w:tcW w:type="dxa" w:w="3100"/>
            <w:tcMar>
              <w:top w:type="dxa" w:w="80"/>
              <w:left w:type="dxa" w:w="100"/>
              <w:bottom w:type="dxa" w:w="80"/>
              <w:right w:type="dxa" w:w="100"/>
            </w:tcMar>
            <w:vAlign w:val="center"/>
          </w:tcPr>
          <w:p>
            <w:r>
              <w:rPr>
                <w:rFonts w:ascii="Palatino Linotype" w:cs="Palatino Linotype" w:eastAsia="Palatino Linotype" w:hAnsi="Palatino Linotype"/>
                <w:b w:val="false"/>
                <w:bCs w:val="false"/>
                <w:color w:val="1A1A1A"/>
                <w:sz w:val="20"/>
                <w:szCs w:val="20"/>
              </w:rPr>
              <w:t xml:space="preserve">Non-commutativity Θ^IJ</w:t>
            </w:r>
          </w:p>
        </w:tc>
        <w:tc>
          <w:tcPr>
            <w:tcW w:type="dxa" w:w="3100"/>
            <w:tcMar>
              <w:top w:type="dxa" w:w="80"/>
              <w:left w:type="dxa" w:w="100"/>
              <w:bottom w:type="dxa" w:w="80"/>
              <w:right w:type="dxa" w:w="100"/>
            </w:tcMar>
            <w:vAlign w:val="center"/>
          </w:tcPr>
          <w:p>
            <w:r>
              <w:rPr>
                <w:rFonts w:ascii="Palatino Linotype" w:cs="Palatino Linotype" w:eastAsia="Palatino Linotype" w:hAnsi="Palatino Linotype"/>
                <w:b w:val="false"/>
                <w:bCs w:val="false"/>
                <w:color w:val="1A1A1A"/>
                <w:sz w:val="20"/>
                <w:szCs w:val="20"/>
              </w:rPr>
              <w:t xml:space="preserve">Commutator of measured coupling matrices across two directions I, J</w:t>
            </w:r>
          </w:p>
        </w:tc>
        <w:tc>
          <w:tcPr>
            <w:tcW w:type="dxa" w:w="3150"/>
            <w:tcMar>
              <w:top w:type="dxa" w:w="80"/>
              <w:left w:type="dxa" w:w="100"/>
              <w:bottom w:type="dxa" w:w="80"/>
              <w:right w:type="dxa" w:w="100"/>
            </w:tcMar>
            <w:vAlign w:val="center"/>
          </w:tcPr>
          <w:p>
            <w:r>
              <w:rPr>
                <w:rFonts w:ascii="Palatino Linotype" w:cs="Palatino Linotype" w:eastAsia="Palatino Linotype" w:hAnsi="Palatino Linotype"/>
                <w:b w:val="false"/>
                <w:bCs w:val="false"/>
                <w:color w:val="1A1A1A"/>
                <w:sz w:val="20"/>
                <w:szCs w:val="20"/>
              </w:rPr>
              <w:t xml:space="preserve">Requires two independently controlled matrix directions — not yet demonstrated</w:t>
            </w:r>
          </w:p>
        </w:tc>
      </w:tr>
    </w:tbl>
    <w:p>
      <w:pPr>
        <w:spacing w:after="200" w:before="0" w:line="288"/>
        <w:jc w:val="both"/>
      </w:pPr>
      <w:r>
        <w:rPr>
          <w:rFonts w:ascii="Palatino Linotype" w:cs="Palatino Linotype" w:eastAsia="Palatino Linotype" w:hAnsi="Palatino Linotype"/>
          <w:color w:val="1A1A1A"/>
          <w:sz w:val="22"/>
          <w:szCs w:val="22"/>
        </w:rPr>
        <w:t xml:space="preserve"/>
      </w:r>
    </w:p>
    <w:p>
      <w:pPr>
        <w:pStyle w:val="Heading1"/>
        <w:pBdr>
          <w:bottom w:val="single" w:color="C9A84C" w:sz="8" w:space="4"/>
        </w:pBdr>
        <w:spacing w:after="200" w:before="400"/>
      </w:pPr>
      <w:r>
        <w:rPr>
          <w:rFonts w:ascii="Arial" w:cs="Arial" w:eastAsia="Arial" w:hAnsi="Arial"/>
          <w:b/>
          <w:bCs/>
          <w:color w:val="0B1F3A"/>
          <w:sz w:val="30"/>
          <w:szCs w:val="30"/>
        </w:rPr>
        <w:t xml:space="preserve">5. Predicted Observables (Conditional on Realization)</w:t>
      </w:r>
    </w:p>
    <w:p>
      <w:pPr>
        <w:pStyle w:val="Heading2"/>
        <w:spacing w:after="150" w:before="300"/>
      </w:pPr>
      <w:r>
        <w:rPr>
          <w:rFonts w:ascii="Arial" w:cs="Arial" w:eastAsia="Arial" w:hAnsi="Arial"/>
          <w:b/>
          <w:bCs/>
          <w:color w:val="0B1F3A"/>
          <w:sz w:val="24"/>
          <w:szCs w:val="24"/>
        </w:rPr>
        <w:t xml:space="preserve">5.1 Direct coherence readout</w:t>
      </w:r>
    </w:p>
    <w:p>
      <w:pPr>
        <w:spacing w:after="200" w:before="0" w:line="288"/>
        <w:jc w:val="both"/>
      </w:pPr>
      <w:r>
        <w:rPr>
          <w:rFonts w:ascii="Palatino Linotype" w:cs="Palatino Linotype" w:eastAsia="Palatino Linotype" w:hAnsi="Palatino Linotype"/>
          <w:color w:val="1A1A1A"/>
          <w:sz w:val="22"/>
          <w:szCs w:val="22"/>
        </w:rPr>
        <w:t xml:space="preserve">If the proposed embedding is realized, off-diagonal matrix elements 𝔇ᴵ_ab could in principle be read out directly via internal-state interferometry (e.g. Ramsey-type sequences resolving coherence between sublevels a and b), rather than inferred from collective dynamics. This would be the first direct measurement of an SRSM coherence term in any deployment track, and is the central motivation for pursuing SR-4 despite its lower experimental maturity relative to SR-1–SR-3.</w:t>
      </w:r>
    </w:p>
    <w:p>
      <w:pPr>
        <w:pStyle w:val="Heading2"/>
        <w:spacing w:after="150" w:before="300"/>
      </w:pPr>
      <w:r>
        <w:rPr>
          <w:rFonts w:ascii="Arial" w:cs="Arial" w:eastAsia="Arial" w:hAnsi="Arial"/>
          <w:b/>
          <w:bCs/>
          <w:color w:val="0B1F3A"/>
          <w:sz w:val="24"/>
          <w:szCs w:val="24"/>
        </w:rPr>
        <w:t xml:space="preserve">5.2 Emergent non-commutativity</w:t>
      </w:r>
    </w:p>
    <w:p>
      <w:pPr>
        <w:spacing w:after="200" w:before="0" w:line="288"/>
        <w:jc w:val="both"/>
      </w:pPr>
      <w:r>
        <w:rPr>
          <w:rFonts w:ascii="Palatino Linotype" w:cs="Palatino Linotype" w:eastAsia="Palatino Linotype" w:hAnsi="Palatino Linotype"/>
          <w:color w:val="1A1A1A"/>
          <w:sz w:val="22"/>
          <w:szCs w:val="22"/>
        </w:rPr>
        <w:t xml:space="preserve">With two independently addressable matrix directions I, J realized (e.g. via two distinct laser-coupling geometries acting on the same SU(N) manifold), the commutator [𝔇ᴵ,𝔇ᴶ] and hence a laboratory estimate of Θ^IJ (Section 2.3 of the mechanics paper) could in principle be extracted. This is flagged as the most speculative prediction in the SR series to date and has no analogue in SR-1 through SR-3.</w:t>
      </w:r>
    </w:p>
    <w:p>
      <w:pPr>
        <w:pStyle w:val="Heading2"/>
        <w:spacing w:after="150" w:before="300"/>
      </w:pPr>
      <w:r>
        <w:rPr>
          <w:rFonts w:ascii="Arial" w:cs="Arial" w:eastAsia="Arial" w:hAnsi="Arial"/>
          <w:b/>
          <w:bCs/>
          <w:color w:val="0B1F3A"/>
          <w:sz w:val="24"/>
          <w:szCs w:val="24"/>
        </w:rPr>
        <w:t xml:space="preserve">5.3 SU(N) Vandermonde correspondence</w:t>
      </w:r>
    </w:p>
    <w:p>
      <w:pPr>
        <w:spacing w:after="200" w:before="0" w:line="288"/>
        <w:jc w:val="both"/>
      </w:pPr>
      <w:r>
        <w:rPr>
          <w:rFonts w:ascii="Palatino Linotype" w:cs="Palatino Linotype" w:eastAsia="Palatino Linotype" w:hAnsi="Palatino Linotype"/>
          <w:color w:val="1A1A1A"/>
          <w:sz w:val="22"/>
          <w:szCs w:val="22"/>
        </w:rPr>
        <w:t xml:space="preserve">At large N, SU(N) cold-atom systems are expected to connect to the same large-N matrix-model universality class underlying SRSM's continuum limit (Section 12.1 of the mechanics paper), suggesting that sufficiently large-N cold-atom SU(N) experiments could eventually probe the same Vandermonde repulsion tested more directly, and with a much larger effective N, in SR-2's chaotic-spectrum platforms. This connection is noted but not developed quantitatively here.</w:t>
      </w:r>
    </w:p>
    <w:p>
      <w:pPr>
        <w:pStyle w:val="Heading1"/>
        <w:pBdr>
          <w:bottom w:val="single" w:color="C9A84C" w:sz="8" w:space="4"/>
        </w:pBdr>
        <w:spacing w:after="200" w:before="400"/>
      </w:pPr>
      <w:r>
        <w:rPr>
          <w:rFonts w:ascii="Arial" w:cs="Arial" w:eastAsia="Arial" w:hAnsi="Arial"/>
          <w:b/>
          <w:bCs/>
          <w:color w:val="0B1F3A"/>
          <w:sz w:val="30"/>
          <w:szCs w:val="30"/>
        </w:rPr>
        <w:t xml:space="preserve">6. Staged and Existence-Contingent Protocol</w:t>
      </w:r>
    </w:p>
    <w:p>
      <w:pPr>
        <w:pStyle w:val="ListParagraph"/>
        <w:numPr>
          <w:ilvl w:val="0"/>
          <w:numId w:val="2"/>
        </w:numPr>
        <w:spacing w:after="120" w:line="276"/>
      </w:pPr>
      <w:r>
        <w:rPr>
          <w:rFonts w:ascii="Palatino Linotype" w:cs="Palatino Linotype" w:eastAsia="Palatino Linotype" w:hAnsi="Palatino Linotype"/>
          <w:color w:val="1A1A1A"/>
          <w:sz w:val="22"/>
          <w:szCs w:val="22"/>
        </w:rPr>
        <w:t xml:space="preserve">SR-4a (near-term, demonstrated ingredients) — Confirm SU(N) symmetry and sublevel-resolved control in a chosen atomic species (e.g. ytterbium-173) in an optical lattice, establishing the matrix-index embedding of Section 3.2 without yet attempting off-diagonal readout.</w:t>
      </w:r>
    </w:p>
    <w:p>
      <w:pPr>
        <w:pStyle w:val="ListParagraph"/>
        <w:numPr>
          <w:ilvl w:val="0"/>
          <w:numId w:val="2"/>
        </w:numPr>
        <w:spacing w:after="120" w:line="276"/>
      </w:pPr>
      <w:r>
        <w:rPr>
          <w:rFonts w:ascii="Palatino Linotype" w:cs="Palatino Linotype" w:eastAsia="Palatino Linotype" w:hAnsi="Palatino Linotype"/>
          <w:color w:val="1A1A1A"/>
          <w:sz w:val="22"/>
          <w:szCs w:val="22"/>
        </w:rPr>
        <w:t xml:space="preserve">SR-4b (near-term) — Demonstrate controlled coupling between two sublevels a, b at a single lattice site and attempt coherence readout via internal-state interferometry, as a first test of Section 5.1.</w:t>
      </w:r>
    </w:p>
    <w:p>
      <w:pPr>
        <w:pStyle w:val="ListParagraph"/>
        <w:numPr>
          <w:ilvl w:val="0"/>
          <w:numId w:val="2"/>
        </w:numPr>
        <w:spacing w:after="120" w:line="276"/>
      </w:pPr>
      <w:r>
        <w:rPr>
          <w:rFonts w:ascii="Palatino Linotype" w:cs="Palatino Linotype" w:eastAsia="Palatino Linotype" w:hAnsi="Palatino Linotype"/>
          <w:color w:val="1A1A1A"/>
          <w:sz w:val="22"/>
          <w:szCs w:val="22"/>
        </w:rPr>
        <w:t xml:space="preserve">SR-4c (medium-term, not yet demonstrated) — Extend SR-4b to a full N×N controllable coupling matrix at a single site, realizing a genuine single-site 𝔇ᴵ matrix rather than a single coupled pair.</w:t>
      </w:r>
    </w:p>
    <w:p>
      <w:pPr>
        <w:pStyle w:val="ListParagraph"/>
        <w:numPr>
          <w:ilvl w:val="0"/>
          <w:numId w:val="2"/>
        </w:numPr>
        <w:spacing w:after="120" w:line="276"/>
      </w:pPr>
      <w:r>
        <w:rPr>
          <w:rFonts w:ascii="Palatino Linotype" w:cs="Palatino Linotype" w:eastAsia="Palatino Linotype" w:hAnsi="Palatino Linotype"/>
          <w:color w:val="1A1A1A"/>
          <w:sz w:val="22"/>
          <w:szCs w:val="22"/>
        </w:rPr>
        <w:t xml:space="preserve">SR-4d (long-term, existence-contingent) — Realize two independently controlled matrix directions I, J on the same manifold and attempt an estimate of Θ^IJ via the protocol of Section 5.2; whether this is achievable with any near-term cold-atom architecture is, at the time of writing, an open question this note does not resolve.</w:t>
      </w:r>
    </w:p>
    <w:p>
      <w:pPr>
        <w:pStyle w:val="Heading1"/>
        <w:pBdr>
          <w:bottom w:val="single" w:color="C9A84C" w:sz="8" w:space="4"/>
        </w:pBdr>
        <w:spacing w:after="200" w:before="400"/>
      </w:pPr>
      <w:r>
        <w:rPr>
          <w:rFonts w:ascii="Arial" w:cs="Arial" w:eastAsia="Arial" w:hAnsi="Arial"/>
          <w:b/>
          <w:bCs/>
          <w:color w:val="0B1F3A"/>
          <w:sz w:val="30"/>
          <w:szCs w:val="30"/>
        </w:rPr>
        <w:t xml:space="preserve">7. Scope and Explicit Limitations</w:t>
      </w:r>
    </w:p>
    <w:p>
      <w:pPr>
        <w:pStyle w:val="ListParagraph"/>
        <w:numPr>
          <w:ilvl w:val="0"/>
          <w:numId w:val="2"/>
        </w:numPr>
        <w:spacing w:after="120" w:line="276"/>
      </w:pPr>
      <w:r>
        <w:rPr>
          <w:rFonts w:ascii="Palatino Linotype" w:cs="Palatino Linotype" w:eastAsia="Palatino Linotype" w:hAnsi="Palatino Linotype"/>
          <w:color w:val="1A1A1A"/>
          <w:sz w:val="22"/>
          <w:szCs w:val="22"/>
        </w:rPr>
        <w:t xml:space="preserve">Existence-contingency: unlike SR-1 through SR-3, no experiment realizing SR-4b or beyond has been performed; SR-4a alone rests on demonstrated SU(N) cold-atom technique, and everything past it is a theoretical proposal.</w:t>
      </w:r>
    </w:p>
    <w:p>
      <w:pPr>
        <w:pStyle w:val="ListParagraph"/>
        <w:numPr>
          <w:ilvl w:val="0"/>
          <w:numId w:val="2"/>
        </w:numPr>
        <w:spacing w:after="120" w:line="276"/>
      </w:pPr>
      <w:r>
        <w:rPr>
          <w:rFonts w:ascii="Palatino Linotype" w:cs="Palatino Linotype" w:eastAsia="Palatino Linotype" w:hAnsi="Palatino Linotype"/>
          <w:color w:val="1A1A1A"/>
          <w:sz w:val="22"/>
          <w:szCs w:val="22"/>
        </w:rPr>
        <w:t xml:space="preserve">Gauge symmetry is only approximate: real alkaline-earth(-like) atoms have small SU(N)-breaking terms (differential light shifts, residual hyperfine coupling) that are neglected in the idealized mapping of Section 4 and would need to be controlled or characterized before any quantitative comparison to SRSM predictions.</w:t>
      </w:r>
    </w:p>
    <w:p>
      <w:pPr>
        <w:pStyle w:val="ListParagraph"/>
        <w:numPr>
          <w:ilvl w:val="0"/>
          <w:numId w:val="2"/>
        </w:numPr>
        <w:spacing w:after="120" w:line="276"/>
      </w:pPr>
      <w:r>
        <w:rPr>
          <w:rFonts w:ascii="Palatino Linotype" w:cs="Palatino Linotype" w:eastAsia="Palatino Linotype" w:hAnsi="Palatino Linotype"/>
          <w:color w:val="1A1A1A"/>
          <w:sz w:val="22"/>
          <w:szCs w:val="22"/>
        </w:rPr>
        <w:t xml:space="preserve">No native worldsheet dynamics beyond tunneling: the correspondence between lattice tunneling and the ∂σ term of the SRSM action (Section 3.1 of the mechanics paper) is structural, not derived from a matched action; a full correspondence at the level of the Lagrangian has not been worked out.</w:t>
      </w:r>
    </w:p>
    <w:p>
      <w:pPr>
        <w:pStyle w:val="ListParagraph"/>
        <w:numPr>
          <w:ilvl w:val="0"/>
          <w:numId w:val="2"/>
        </w:numPr>
        <w:spacing w:after="120" w:line="276"/>
      </w:pPr>
      <w:r>
        <w:rPr>
          <w:rFonts w:ascii="Palatino Linotype" w:cs="Palatino Linotype" w:eastAsia="Palatino Linotype" w:hAnsi="Palatino Linotype"/>
          <w:color w:val="1A1A1A"/>
          <w:sz w:val="22"/>
          <w:szCs w:val="22"/>
        </w:rPr>
        <w:t xml:space="preserve">As with PM-11, this note should be read as raising a candidate research direction rather than asserting a working simulator; any future claims building on SR-4 should be explicitly gated on independent confirmation of each stage in Section 6.</w:t>
      </w:r>
    </w:p>
    <w:p>
      <w:pPr>
        <w:pStyle w:val="Heading1"/>
        <w:pBdr>
          <w:bottom w:val="single" w:color="C9A84C" w:sz="8" w:space="4"/>
        </w:pBdr>
        <w:spacing w:after="200" w:before="400"/>
      </w:pPr>
      <w:r>
        <w:rPr>
          <w:rFonts w:ascii="Arial" w:cs="Arial" w:eastAsia="Arial" w:hAnsi="Arial"/>
          <w:b/>
          <w:bCs/>
          <w:color w:val="0B1F3A"/>
          <w:sz w:val="30"/>
          <w:szCs w:val="30"/>
        </w:rPr>
        <w:t xml:space="preserve">8. Relation to SR-1, SR-2, and SR-3</w:t>
      </w:r>
    </w:p>
    <w:p>
      <w:pPr>
        <w:spacing w:after="200" w:before="0" w:line="288"/>
        <w:jc w:val="both"/>
      </w:pPr>
      <w:r>
        <w:rPr>
          <w:rFonts w:ascii="Palatino Linotype" w:cs="Palatino Linotype" w:eastAsia="Palatino Linotype" w:hAnsi="Palatino Linotype"/>
          <w:color w:val="1A1A1A"/>
          <w:sz w:val="22"/>
          <w:szCs w:val="22"/>
        </w:rPr>
        <w:t xml:space="preserve">SR-1 through SR-3 form a mutually reinforcing, presently realizable triad addressing the eigenvalue, statistical, and lattice/coherence-proxy sectors of Spectron mechanics respectively. SR-4 sits apart from that triad: it does not compete with them for near-term evidence, but targets the one part of the SRSM formalism — genuine off-diagonal matrix structure — that none of them can reach even in principle. Its value to the deployment series is therefore prospective rather than immediate: it identifies where a direct test of Θ^IJ might eventually come from, while acknowledging that no such test exists today.</w:t>
      </w:r>
    </w:p>
    <w:p>
      <w:pPr>
        <w:pStyle w:val="Heading1"/>
        <w:pBdr>
          <w:bottom w:val="single" w:color="C9A84C" w:sz="8" w:space="4"/>
        </w:pBdr>
        <w:spacing w:after="200" w:before="400"/>
      </w:pPr>
      <w:r>
        <w:rPr>
          <w:rFonts w:ascii="Arial" w:cs="Arial" w:eastAsia="Arial" w:hAnsi="Arial"/>
          <w:b/>
          <w:bCs/>
          <w:color w:val="0B1F3A"/>
          <w:sz w:val="30"/>
          <w:szCs w:val="30"/>
        </w:rPr>
        <w:t xml:space="preserve">9. Conclusion</w:t>
      </w:r>
    </w:p>
    <w:p>
      <w:pPr>
        <w:spacing w:after="200" w:before="0" w:line="288"/>
        <w:jc w:val="both"/>
      </w:pPr>
      <w:r>
        <w:rPr>
          <w:rFonts w:ascii="Palatino Linotype" w:cs="Palatino Linotype" w:eastAsia="Palatino Linotype" w:hAnsi="Palatino Linotype"/>
          <w:color w:val="1A1A1A"/>
          <w:sz w:val="22"/>
          <w:szCs w:val="22"/>
        </w:rPr>
        <w:t xml:space="preserve">Cold-atom systems with SU(N) internal symmetry offer, at least in principle, the only proposed route among the four SR deployment tracks to a genuine matrix-quantum-mechanics simulator realizing off-diagonal SRSM structure directly rather than through eigenvalue or coupling proxies. The mapping in Section 4 is structurally motivated and the near-term stages (SR-4a, SR-4b) build on demonstrated SU(N) cold-atom technique, but the protocol's later stages (SR-4c, SR-4d) are existence-contingent and should be treated as an open research proposal rather than an established deployment path, in the same sense flagged for PM-11 in the Phase Mechanics series.</w:t>
      </w:r>
    </w:p>
    <w:p>
      <w:pPr>
        <w:pStyle w:val="Heading1"/>
        <w:pBdr>
          <w:bottom w:val="single" w:color="C9A84C" w:sz="8" w:space="4"/>
        </w:pBdr>
        <w:spacing w:after="200" w:before="400"/>
      </w:pPr>
      <w:r>
        <w:rPr>
          <w:rFonts w:ascii="Arial" w:cs="Arial" w:eastAsia="Arial" w:hAnsi="Arial"/>
          <w:b/>
          <w:bCs/>
          <w:color w:val="0B1F3A"/>
          <w:sz w:val="30"/>
          <w:szCs w:val="30"/>
        </w:rPr>
        <w:t xml:space="preserve">References</w:t>
      </w:r>
    </w:p>
    <w:p>
      <w:pPr>
        <w:spacing w:after="100" w:before="0" w:line="288"/>
        <w:jc w:val="left"/>
      </w:pPr>
      <w:r>
        <w:rPr>
          <w:rFonts w:ascii="Palatino Linotype" w:cs="Palatino Linotype" w:eastAsia="Palatino Linotype" w:hAnsi="Palatino Linotype"/>
          <w:color w:val="1A1A1A"/>
          <w:sz w:val="22"/>
          <w:szCs w:val="22"/>
        </w:rPr>
        <w:t xml:space="preserve">[1] Spectral Resonance String Mechanics: A Hamiltonian and Worldsheet Formulation of Pre-Geometric Resonance Strings. Preprint SRST-2026-002.</w:t>
      </w:r>
    </w:p>
    <w:p>
      <w:pPr>
        <w:spacing w:after="100" w:before="0" w:line="288"/>
        <w:jc w:val="left"/>
      </w:pPr>
      <w:r>
        <w:rPr>
          <w:rFonts w:ascii="Palatino Linotype" w:cs="Palatino Linotype" w:eastAsia="Palatino Linotype" w:hAnsi="Palatino Linotype"/>
          <w:color w:val="1A1A1A"/>
          <w:sz w:val="22"/>
          <w:szCs w:val="22"/>
        </w:rPr>
        <w:t xml:space="preserve">[2] A. V. Gorshkov et al., “Two-Orbital SU(N) Magnetism with Ultracold Alkaline-Earth Atoms,” Nature Physics 6, 289 (2010).</w:t>
      </w:r>
    </w:p>
    <w:p>
      <w:pPr>
        <w:spacing w:after="100" w:before="0" w:line="288"/>
        <w:jc w:val="left"/>
      </w:pPr>
      <w:r>
        <w:rPr>
          <w:rFonts w:ascii="Palatino Linotype" w:cs="Palatino Linotype" w:eastAsia="Palatino Linotype" w:hAnsi="Palatino Linotype"/>
          <w:color w:val="1A1A1A"/>
          <w:sz w:val="22"/>
          <w:szCs w:val="22"/>
        </w:rPr>
        <w:t xml:space="preserve">[3] M. A. Cazalilla and A. M. Rey, “Ultracold Fermi Gases with Emergent SU(N) Symmetry,” Reports on Progress in Physics 77, 124401 (2014).</w:t>
      </w:r>
    </w:p>
    <w:p>
      <w:pPr>
        <w:spacing w:after="100" w:before="0" w:line="288"/>
        <w:jc w:val="left"/>
      </w:pPr>
      <w:r>
        <w:rPr>
          <w:rFonts w:ascii="Palatino Linotype" w:cs="Palatino Linotype" w:eastAsia="Palatino Linotype" w:hAnsi="Palatino Linotype"/>
          <w:color w:val="1A1A1A"/>
          <w:sz w:val="22"/>
          <w:szCs w:val="22"/>
        </w:rPr>
        <w:t xml:space="preserve">[4] X. Zhang et al., “Spectroscopic Observation of SU(N)-Symmetric Interactions in Sr Orbital Magnetism,” Science 345, 1467 (2014).</w:t>
      </w:r>
    </w:p>
    <w:p>
      <w:pPr>
        <w:spacing w:after="100" w:before="0" w:line="288"/>
        <w:jc w:val="left"/>
      </w:pPr>
      <w:r>
        <w:rPr>
          <w:rFonts w:ascii="Palatino Linotype" w:cs="Palatino Linotype" w:eastAsia="Palatino Linotype" w:hAnsi="Palatino Linotype"/>
          <w:color w:val="1A1A1A"/>
          <w:sz w:val="22"/>
          <w:szCs w:val="22"/>
        </w:rPr>
        <w:t xml:space="preserve">[5] T. Banks, W. Fischler, S. H. Shenker, and L. Susskind, “M Theory as a Matrix Model: A Conjecture,” Phys. Rev. D 55, 5112 (1997).</w:t>
      </w:r>
    </w:p>
    <w:p>
      <w:pPr>
        <w:spacing w:after="100" w:before="0" w:line="288"/>
        <w:jc w:val="left"/>
      </w:pPr>
      <w:r>
        <w:rPr>
          <w:rFonts w:ascii="Palatino Linotype" w:cs="Palatino Linotype" w:eastAsia="Palatino Linotype" w:hAnsi="Palatino Linotype"/>
          <w:color w:val="1A1A1A"/>
          <w:sz w:val="22"/>
          <w:szCs w:val="22"/>
        </w:rPr>
        <w:t xml:space="preserve">[6] N. Ishibashi, H. Kawai, Y. Kitazawa, and A. Tsuchiya, “A Large-N Reduced Model as Superstring,” Nucl. Phys. B 498, 467 (1997).</w:t>
      </w:r>
    </w:p>
    <w:p>
      <w:pPr>
        <w:spacing w:after="100" w:before="0" w:line="288"/>
        <w:jc w:val="left"/>
      </w:pPr>
      <w:r>
        <w:rPr>
          <w:rFonts w:ascii="Palatino Linotype" w:cs="Palatino Linotype" w:eastAsia="Palatino Linotype" w:hAnsi="Palatino Linotype"/>
          <w:color w:val="1A1A1A"/>
          <w:sz w:val="22"/>
          <w:szCs w:val="22"/>
        </w:rPr>
        <w:t xml:space="preserve">[7] Phase Mechanics PM Deployment Note Series, PM-11 (Majorana Zero Modes, existence-contingent), Dust Research Division.</w:t>
      </w:r>
    </w:p>
    <w:p>
      <w:pPr>
        <w:spacing w:after="100" w:before="0" w:line="288"/>
        <w:jc w:val="left"/>
      </w:pPr>
      <w:r>
        <w:rPr>
          <w:rFonts w:ascii="Palatino Linotype" w:cs="Palatino Linotype" w:eastAsia="Palatino Linotype" w:hAnsi="Palatino Linotype"/>
          <w:color w:val="1A1A1A"/>
          <w:sz w:val="22"/>
          <w:szCs w:val="22"/>
        </w:rPr>
        <w:t xml:space="preserve">[8] SR-1 through SR-3 Deployment Notes, Preprints SR-2026-001 through SR-2026-003, Dust Research Division.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6" w:space="4"/>
      </w:pBdr>
      <w:tabs>
        <w:tab w:val="right" w:pos="10800"/>
      </w:tabs>
    </w:pPr>
    <w:r>
      <w:rPr>
        <w:rFonts w:ascii="Arial" w:cs="Arial" w:eastAsia="Arial" w:hAnsi="Arial"/>
        <w:color w:val="6A6A6A"/>
        <w:sz w:val="16"/>
        <w:szCs w:val="16"/>
      </w:rPr>
      <w:t xml:space="preserve">Spectral Resonance String Mechanics — Deployment Series</w:t>
    </w:r>
    <w:r>
      <w:rPr>
        <w:rFonts w:ascii="Arial" w:cs="Arial" w:eastAsia="Arial" w:hAnsi="Arial"/>
        <w:color w:val="6A6A6A"/>
        <w:sz w:val="16"/>
        <w:szCs w:val="16"/>
      </w:rPr>
      <w:t xml:space="preserve">	Page </w:t>
    </w:r>
    <w:r>
      <w:rPr>
        <w:rFonts w:ascii="Arial" w:cs="Arial" w:eastAsia="Arial" w:hAnsi="Arial"/>
        <w:color w:val="6A6A6A"/>
        <w:sz w:val="16"/>
        <w:szCs w:val="16"/>
      </w:rPr>
      <w:fldChar w:fldCharType="begin"/>
      <w:instrText xml:space="preserve">PAGE</w:instrText>
      <w:fldChar w:fldCharType="separate"/>
      <w:fldChar w:fldCharType="end"/>
    </w:r>
    <w:r>
      <w:rPr>
        <w:rFonts w:ascii="Arial" w:cs="Arial" w:eastAsia="Arial" w:hAnsi="Arial"/>
        <w:color w:val="6A6A6A"/>
        <w:sz w:val="16"/>
        <w:szCs w:val="16"/>
      </w:rPr>
      <w:t xml:space="preserve"> of </w:t>
    </w:r>
    <w:r>
      <w:rPr>
        <w:rFonts w:ascii="Arial" w:cs="Arial" w:eastAsia="Arial" w:hAnsi="Arial"/>
        <w:color w:val="6A6A6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6" w:space="4"/>
      </w:pBdr>
      <w:tabs>
        <w:tab w:val="right" w:pos="10800"/>
      </w:tabs>
    </w:pPr>
    <w:r>
      <w:rPr>
        <w:rFonts w:ascii="Arial" w:cs="Arial" w:eastAsia="Arial" w:hAnsi="Arial"/>
        <w:b/>
        <w:bCs/>
        <w:color w:val="0B1F3A"/>
        <w:sz w:val="16"/>
        <w:szCs w:val="16"/>
      </w:rPr>
      <w:t xml:space="preserve">DUST LLC — THEORETICAL FOUNDATIONS GROUP</w:t>
    </w:r>
    <w:r>
      <w:rPr>
        <w:rFonts w:ascii="Arial" w:cs="Arial" w:eastAsia="Arial" w:hAnsi="Arial"/>
        <w:color w:val="C9A84C"/>
        <w:sz w:val="16"/>
        <w:szCs w:val="16"/>
      </w:rPr>
      <w:t xml:space="preserve">	SR-4 — Deployment Note (Existence-Contingent)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2026-08-11T07:41:02.342Z</dcterms:created>
  <dcterms:modified xsi:type="dcterms:W3CDTF">2026-08-11T07:41:02.344Z</dcterms:modified>
</cp:coreProperties>
</file>

<file path=docProps/custom.xml><?xml version="1.0" encoding="utf-8"?>
<Properties xmlns="http://schemas.openxmlformats.org/officeDocument/2006/custom-properties" xmlns:vt="http://schemas.openxmlformats.org/officeDocument/2006/docPropsVTypes"/>
</file>