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Arial" w:cs="Arial" w:eastAsia="Arial" w:hAnsi="Arial"/>
          <w:b/>
          <w:bCs/>
          <w:color w:val="B8860B"/>
          <w:spacing w:val="20"/>
          <w:sz w:val="20"/>
          <w:szCs w:val="20"/>
        </w:rPr>
        <w:t xml:space="preserve">DUST RESEARCH DIVISION</w:t>
      </w:r>
    </w:p>
    <w:p>
      <w:pPr>
        <w:spacing w:after="600"/>
        <w:jc w:val="center"/>
      </w:pPr>
      <w:r>
        <w:rPr>
          <w:rFonts w:ascii="Arial" w:cs="Arial" w:eastAsia="Arial" w:hAnsi="Arial"/>
          <w:color w:val="555555"/>
          <w:sz w:val="18"/>
          <w:szCs w:val="18"/>
        </w:rPr>
        <w:t xml:space="preserve">Theoretical Foundations Group — Pure Mathematics Series</w:t>
      </w:r>
    </w:p>
    <w:p>
      <w:pPr>
        <w:spacing w:after="200"/>
        <w:jc w:val="center"/>
      </w:pPr>
      <w:r>
        <w:rPr>
          <w:rFonts w:ascii="Arial" w:cs="Arial" w:eastAsia="Arial" w:hAnsi="Arial"/>
          <w:b/>
          <w:bCs/>
          <w:color w:val="1B2A4A"/>
          <w:sz w:val="44"/>
          <w:szCs w:val="44"/>
        </w:rPr>
        <w:t xml:space="preserve">Threshold-Graded Closure Theory</w:t>
      </w:r>
    </w:p>
    <w:p>
      <w:pPr>
        <w:spacing w:after="500"/>
        <w:jc w:val="center"/>
      </w:pPr>
      <w:r>
        <w:rPr>
          <w:rFonts w:ascii="Arial" w:cs="Arial" w:eastAsia="Arial" w:hAnsi="Arial"/>
          <w:i/>
          <w:iCs/>
          <w:color w:val="1B2A4A"/>
          <w:sz w:val="26"/>
          <w:szCs w:val="26"/>
        </w:rPr>
        <w:t xml:space="preserve">A Spectral Framework for Graded Closure Operators on Partially Ordered Sets</w:t>
      </w:r>
    </w:p>
    <w:p>
      <w:pPr>
        <w:pBdr>
          <w:top w:val="single" w:color="B8860B" w:sz="6" w:space="10"/>
          <w:bottom w:val="single" w:color="B8860B" w:sz="6" w:space="10"/>
        </w:pBdr>
        <w:spacing w:after="200" w:before="200"/>
        <w:jc w:val="center"/>
      </w:pPr>
      <w:r>
        <w:rPr>
          <w:sz w:val="2"/>
          <w:szCs w:val="2"/>
        </w:rPr>
        <w:t xml:space="preserve">  </w:t>
      </w:r>
    </w:p>
    <w:p>
      <w:pPr>
        <w:spacing w:before="900"/>
      </w:pPr>
    </w:p>
    <w:p>
      <w:pPr>
        <w:spacing w:after="40"/>
        <w:jc w:val="center"/>
      </w:pPr>
      <w:r>
        <w:rPr>
          <w:rFonts w:ascii="Arial" w:cs="Arial" w:eastAsia="Arial" w:hAnsi="Arial"/>
          <w:b/>
          <w:bCs/>
          <w:sz w:val="24"/>
          <w:szCs w:val="24"/>
        </w:rPr>
        <w:t xml:space="preserve">M. Brownlee</w:t>
      </w:r>
    </w:p>
    <w:p>
      <w:pPr>
        <w:spacing w:after="40"/>
        <w:jc w:val="center"/>
      </w:pPr>
      <w:r>
        <w:rPr>
          <w:rFonts w:ascii="Palatino Linotype" w:cs="Palatino Linotype" w:eastAsia="Palatino Linotype" w:hAnsi="Palatino Linotype"/>
          <w:i/>
          <w:iCs/>
          <w:sz w:val="22"/>
          <w:szCs w:val="22"/>
        </w:rPr>
        <w:t xml:space="preserve">Dust LLC — Theoretical Foundations Group</w:t>
      </w:r>
    </w:p>
    <w:p>
      <w:pPr>
        <w:spacing w:after="600"/>
        <w:jc w:val="center"/>
      </w:pPr>
      <w:r>
        <w:rPr>
          <w:rFonts w:ascii="Palatino Linotype" w:cs="Palatino Linotype" w:eastAsia="Palatino Linotype" w:hAnsi="Palatino Linotype"/>
          <w:sz w:val="22"/>
          <w:szCs w:val="22"/>
        </w:rPr>
        <w:t xml:space="preserve">July 2026</w:t>
      </w:r>
    </w:p>
    <w:p>
      <w:pPr>
        <w:spacing w:before="1200"/>
        <w:jc w:val="center"/>
      </w:pPr>
      <w:r>
        <w:rPr>
          <w:rFonts w:ascii="Palatino Linotype" w:cs="Palatino Linotype" w:eastAsia="Palatino Linotype" w:hAnsi="Palatino Linotype"/>
          <w:i/>
          <w:iCs/>
          <w:color w:val="777777"/>
          <w:sz w:val="18"/>
          <w:szCs w:val="18"/>
        </w:rPr>
        <w:t xml:space="preserve">Original work. Pure mathematics; no physical interpretation is assumed or required.</w:t>
      </w:r>
    </w:p>
    <w:p>
      <w:pPr>
        <w:sectPr>
          <w:pgSz w:w="12240" w:h="15840" w:orient="portrait"/>
          <w:pgMar w:top="1440" w:right="1440" w:bottom="1440" w:left="1440" w:header="708" w:footer="708" w:gutter="0"/>
          <w:pgNumType/>
          <w:docGrid w:linePitch="360"/>
        </w:sectPr>
      </w:pPr>
    </w:p>
    <w:p>
      <w:pPr>
        <w:pStyle w:val="Heading1"/>
        <w:pBdr>
          <w:bottom w:val="single" w:color="B8860B" w:sz="8" w:space="4"/>
        </w:pBdr>
        <w:spacing w:after="200" w:before="400"/>
      </w:pPr>
      <w:r>
        <w:rPr>
          <w:rFonts w:ascii="Arial" w:cs="Arial" w:eastAsia="Arial" w:hAnsi="Arial"/>
          <w:b/>
          <w:bCs/>
          <w:color w:val="1B2A4A"/>
          <w:sz w:val="30"/>
          <w:szCs w:val="30"/>
        </w:rPr>
        <w:t xml:space="preserve">Abstract</w:t>
      </w:r>
    </w:p>
    <w:p>
      <w:pPr>
        <w:spacing w:after="160" w:line="276"/>
        <w:jc w:val="both"/>
      </w:pPr>
      <w:r>
        <w:rPr>
          <w:rFonts w:ascii="Palatino Linotype" w:cs="Palatino Linotype" w:eastAsia="Palatino Linotype" w:hAnsi="Palatino Linotype"/>
          <w:sz w:val="22"/>
          <w:szCs w:val="22"/>
        </w:rPr>
        <w:t xml:space="preserve">We introduce Threshold-Graded Closure Theory (TGCT), a framework generalizing the classical notion of a closure operator on a partially ordered set to a one-parameter, threshold-indexed family of closure operators satisfying a graded monotonicity and absorption law. Where classical closure operator theory (Birkhoff; Ore; Davey &amp; Priestley) studies a single extensive, monotone, idempotent self-map on a poset, TGCT studies a coherent family {c_t} indexed by a threshold t, modeling situations in which the strength of a closing operation increases with a controllable parameter — proximity radius, weight cutoff, tolerance, or scale. We define the closure spectrum of an element, an invariant recording the thresholds at which its closure value strictly changes, and prove three structural results: the Finite Spectrum Theorem, bounding spectrum size by poset height; the Grade Composition Theorem, showing that commuting graded families compose into a new graded family; and the Fixed Point Theorem, showing that the threshold limit c_∞ of a graded family is itself an ordinary closure operator, so that its fixed points inherit the standard closure-operator lattice structure. We give a fully worked combinatorial example using weighted-graph connectivity closures, and outline connections to persistence-type and filtration-type structures in adjacent fields, together with a set of open problems.</w:t>
      </w:r>
    </w:p>
    <w:p>
      <w:pPr>
        <w:pStyle w:val="Heading1"/>
        <w:pBdr>
          <w:bottom w:val="single" w:color="B8860B" w:sz="8" w:space="4"/>
        </w:pBdr>
        <w:spacing w:after="200" w:before="400"/>
      </w:pPr>
      <w:r>
        <w:rPr>
          <w:rFonts w:ascii="Arial" w:cs="Arial" w:eastAsia="Arial" w:hAnsi="Arial"/>
          <w:b/>
          <w:bCs/>
          <w:color w:val="1B2A4A"/>
          <w:sz w:val="30"/>
          <w:szCs w:val="30"/>
        </w:rPr>
        <w:t xml:space="preserve">1.  Introduction and Motivation</w:t>
      </w:r>
    </w:p>
    <w:p>
      <w:pPr>
        <w:spacing w:after="160" w:line="276"/>
        <w:jc w:val="both"/>
      </w:pPr>
      <w:r>
        <w:rPr>
          <w:rFonts w:ascii="Palatino Linotype" w:cs="Palatino Linotype" w:eastAsia="Palatino Linotype" w:hAnsi="Palatino Linotype"/>
          <w:sz w:val="22"/>
          <w:szCs w:val="22"/>
        </w:rPr>
        <w:t xml:space="preserve">A closure operator on a poset (P, ≤) is a self-map c: P → P that is extensive (x ≤ c(x)), monotone (x ≤ y ⟹ c(x) ≤ c(y)), and idempotent (c(c(x)) = c(x)). Closure operators are among the most heavily used structural tools in order theory: they arise as the closed-set operators of topological spaces, as the operators underlying Galois connections, as the concept-closure operators of formal concept analysis, and as the deductive-closure operators of logical systems.</w:t>
      </w:r>
    </w:p>
    <w:p>
      <w:pPr>
        <w:spacing w:after="160" w:line="276"/>
        <w:jc w:val="both"/>
      </w:pPr>
      <w:r>
        <w:rPr>
          <w:rFonts w:ascii="Palatino Linotype" w:cs="Palatino Linotype" w:eastAsia="Palatino Linotype" w:hAnsi="Palatino Linotype"/>
          <w:sz w:val="22"/>
          <w:szCs w:val="22"/>
        </w:rPr>
        <w:t xml:space="preserve">In many natural settings, however, a single closure operator is too rigid a model. A closing operation frequently depends on a controllable parameter that determines how aggressively elements are drawn together: a proximity radius in a metric or graph-theoretic setting, a weight or cost cutoff in a network, a tolerance in a numerical computation, or a resolution scale in a filtered or multiscale structure. As the parameter is relaxed, the closure operation should only close more, never less — motivating a family of closure operators graded by, and monotone in, a threshold parameter.</w:t>
      </w:r>
    </w:p>
    <w:p>
      <w:pPr>
        <w:spacing w:after="160" w:line="276"/>
        <w:jc w:val="both"/>
      </w:pPr>
      <w:r>
        <w:rPr>
          <w:rFonts w:ascii="Palatino Linotype" w:cs="Palatino Linotype" w:eastAsia="Palatino Linotype" w:hAnsi="Palatino Linotype"/>
          <w:sz w:val="22"/>
          <w:szCs w:val="22"/>
        </w:rPr>
        <w:t xml:space="preserve">Threshold-Graded Closure Theory formalizes this intuition purely order-theoretically. The central objects are threshold-graded closure families: collections {c_t}_{t∈T} of ordinary closure operators, indexed by a well-ordered threshold set T, that are individually well-behaved (each c_t is a closure operator) and jointly coherent (larger thresholds close at least as much, and a large-threshold closure absorbs any smaller-threshold closure applied first). This is the paper's basic new definition; everything that follows is developed from it.</w:t>
      </w:r>
    </w:p>
    <w:p>
      <w:pPr>
        <w:spacing w:after="160" w:line="276"/>
        <w:jc w:val="both"/>
      </w:pPr>
      <w:r>
        <w:rPr>
          <w:rFonts w:ascii="Palatino Linotype" w:cs="Palatino Linotype" w:eastAsia="Palatino Linotype" w:hAnsi="Palatino Linotype"/>
          <w:sz w:val="22"/>
          <w:szCs w:val="22"/>
        </w:rPr>
        <w:t xml:space="preserve">The paper is organized as follows. Section 2 recalls the classical closure operator definitions needed as a baseline. Section 3 introduces the threshold-graded closure family and its axioms. Section 4 defines the closure spectrum and proves the Finite Spectrum Theorem. Section 5 proves the Grade Composition Theorem for commuting families. Section 6 proves the Fixed Point Theorem. Section 7 works a complete numerical example. Section 8 discusses connections to adjacent structures. Section 9 lists open problems.</w:t>
      </w:r>
    </w:p>
    <w:p>
      <w:pPr>
        <w:pStyle w:val="Heading1"/>
        <w:pBdr>
          <w:bottom w:val="single" w:color="B8860B" w:sz="8" w:space="4"/>
        </w:pBdr>
        <w:spacing w:after="200" w:before="400"/>
      </w:pPr>
      <w:r>
        <w:rPr>
          <w:rFonts w:ascii="Arial" w:cs="Arial" w:eastAsia="Arial" w:hAnsi="Arial"/>
          <w:b/>
          <w:bCs/>
          <w:color w:val="1B2A4A"/>
          <w:sz w:val="30"/>
          <w:szCs w:val="30"/>
        </w:rPr>
        <w:t xml:space="preserve">2.  Preliminaries</w:t>
      </w:r>
    </w:p>
    <w:p>
      <w:pPr>
        <w:spacing w:after="160" w:line="276"/>
        <w:jc w:val="both"/>
      </w:pPr>
      <w:r>
        <w:rPr>
          <w:rFonts w:ascii="Palatino Linotype" w:cs="Palatino Linotype" w:eastAsia="Palatino Linotype" w:hAnsi="Palatino Linotype"/>
          <w:sz w:val="22"/>
          <w:szCs w:val="22"/>
        </w:rPr>
        <w:t xml:space="preserve">Throughout, (P, ≤) is a poset. A chain in P is a totally ordered subset. The height h(P) of a finite poset P is the largest integer h such that P contains a chain x₀ &lt; x₁ &lt; ⋯ &lt; x_h (so a chain with h+1 elements has height h). For x, y ∈ P with x ≤ y, the interval [x, y] is {z ∈ P : x ≤ z ≤ y}, and h([x,y]) denotes its height as a poset in its own right.</w:t>
      </w:r>
    </w:p>
    <w:p>
      <w:pPr>
        <w:spacing w:after="160" w:line="276"/>
        <w:jc w:val="both"/>
      </w:pPr>
      <w:r>
        <w:rPr>
          <w:rFonts w:ascii="Palatino Linotype" w:cs="Palatino Linotype" w:eastAsia="Palatino Linotype" w:hAnsi="Palatino Linotype"/>
          <w:sz w:val="22"/>
          <w:szCs w:val="22"/>
        </w:rPr>
        <w:t xml:space="preserve">Definition 2.1 (Closure operator). </w:t>
      </w:r>
      <w:r>
        <w:rPr>
          <w:rFonts w:ascii="Palatino Linotype" w:cs="Palatino Linotype" w:eastAsia="Palatino Linotype" w:hAnsi="Palatino Linotype"/>
          <w:i w:val="false"/>
          <w:iCs w:val="false"/>
          <w:sz w:val="22"/>
          <w:szCs w:val="22"/>
        </w:rPr>
        <w:t xml:space="preserve">A map c: P → P is a closure operator if, for all x, y ∈ P:</w:t>
      </w:r>
    </w:p>
    <w:p>
      <w:pPr>
        <w:pStyle w:val="ListParagraph"/>
        <w:numPr>
          <w:ilvl w:val="0"/>
          <w:numId w:val="2"/>
        </w:numPr>
        <w:spacing w:after="80"/>
      </w:pPr>
      <w:r>
        <w:rPr>
          <w:rFonts w:ascii="Palatino Linotype" w:cs="Palatino Linotype" w:eastAsia="Palatino Linotype" w:hAnsi="Palatino Linotype"/>
          <w:sz w:val="22"/>
          <w:szCs w:val="22"/>
        </w:rPr>
        <w:t xml:space="preserve">(i) Extensivity: x ≤ c(x).</w:t>
      </w:r>
    </w:p>
    <w:p>
      <w:pPr>
        <w:pStyle w:val="ListParagraph"/>
        <w:numPr>
          <w:ilvl w:val="0"/>
          <w:numId w:val="2"/>
        </w:numPr>
        <w:spacing w:after="80"/>
      </w:pPr>
      <w:r>
        <w:rPr>
          <w:rFonts w:ascii="Palatino Linotype" w:cs="Palatino Linotype" w:eastAsia="Palatino Linotype" w:hAnsi="Palatino Linotype"/>
          <w:sz w:val="22"/>
          <w:szCs w:val="22"/>
        </w:rPr>
        <w:t xml:space="preserve">(ii) Monotonicity: x ≤ y ⟹ c(x) ≤ c(y).</w:t>
      </w:r>
    </w:p>
    <w:p>
      <w:pPr>
        <w:pStyle w:val="ListParagraph"/>
        <w:numPr>
          <w:ilvl w:val="0"/>
          <w:numId w:val="2"/>
        </w:numPr>
        <w:spacing w:after="80"/>
      </w:pPr>
      <w:r>
        <w:rPr>
          <w:rFonts w:ascii="Palatino Linotype" w:cs="Palatino Linotype" w:eastAsia="Palatino Linotype" w:hAnsi="Palatino Linotype"/>
          <w:sz w:val="22"/>
          <w:szCs w:val="22"/>
        </w:rPr>
        <w:t xml:space="preserve">(iii) Idempotence: c(c(x)) = c(x).</w:t>
      </w:r>
    </w:p>
    <w:p>
      <w:pPr>
        <w:spacing w:after="160" w:line="276"/>
        <w:jc w:val="both"/>
      </w:pPr>
      <w:r>
        <w:rPr>
          <w:rFonts w:ascii="Palatino Linotype" w:cs="Palatino Linotype" w:eastAsia="Palatino Linotype" w:hAnsi="Palatino Linotype"/>
          <w:sz w:val="22"/>
          <w:szCs w:val="22"/>
        </w:rPr>
        <w:t xml:space="preserve">The set of fixed points Fix(c) = {x ∈ P : c(x) = x} is called the set of closed elements. When P is a complete lattice, Fix(c) = c(P) is itself a complete lattice under the order inherited from P, with meets agreeing with those of P and joins given by ⋁_{Fix(c)} S = c(⋁_P S); this is the classical closure-operator lattice theorem (Birkhoff, Lattice Theory; Ore, 1943; Davey &amp; Priestley, Introduction to Lattices and Order). We use this classical fact as a baseline in Section 6 but do not reprove it.</w:t>
      </w:r>
    </w:p>
    <w:p>
      <w:pPr>
        <w:pStyle w:val="Heading1"/>
        <w:pBdr>
          <w:bottom w:val="single" w:color="B8860B" w:sz="8" w:space="4"/>
        </w:pBdr>
        <w:spacing w:after="200" w:before="400"/>
      </w:pPr>
      <w:r>
        <w:rPr>
          <w:rFonts w:ascii="Arial" w:cs="Arial" w:eastAsia="Arial" w:hAnsi="Arial"/>
          <w:b/>
          <w:bCs/>
          <w:color w:val="1B2A4A"/>
          <w:sz w:val="30"/>
          <w:szCs w:val="30"/>
        </w:rPr>
        <w:t xml:space="preserve">3.  Threshold-Graded Closure Families</w:t>
      </w:r>
    </w:p>
    <w:p>
      <w:pPr>
        <w:spacing w:after="160" w:line="276"/>
        <w:jc w:val="both"/>
      </w:pPr>
      <w:r>
        <w:rPr>
          <w:rFonts w:ascii="Palatino Linotype" w:cs="Palatino Linotype" w:eastAsia="Palatino Linotype" w:hAnsi="Palatino Linotype"/>
          <w:sz w:val="22"/>
          <w:szCs w:val="22"/>
        </w:rPr>
        <w:t xml:space="preserve">Let T be a well-ordered set of thresholds containing a minimum element 0; the reader may take T = ℕ or T = ℝ≥0 throughout without loss of generality for the finite-poset results proved below, and we write T = ℕ in proofs for concreteness.</w:t>
      </w:r>
    </w:p>
    <w:p>
      <w:pPr>
        <w:spacing w:after="160" w:line="276"/>
        <w:jc w:val="both"/>
      </w:pPr>
      <w:r>
        <w:rPr>
          <w:rFonts w:ascii="Palatino Linotype" w:cs="Palatino Linotype" w:eastAsia="Palatino Linotype" w:hAnsi="Palatino Linotype"/>
          <w:sz w:val="22"/>
          <w:szCs w:val="22"/>
        </w:rPr>
        <w:t xml:space="preserve">Definition 3.1 (Threshold-graded closure family). </w:t>
      </w:r>
      <w:r>
        <w:rPr>
          <w:rFonts w:ascii="Palatino Linotype" w:cs="Palatino Linotype" w:eastAsia="Palatino Linotype" w:hAnsi="Palatino Linotype"/>
          <w:sz w:val="22"/>
          <w:szCs w:val="22"/>
        </w:rPr>
        <w:t xml:space="preserve">A T-graded closure family on P is a family {c_t}_{t∈T} of maps c_t: P → P such that, for all s ≤ t in T and all x, y ∈ P:</w:t>
      </w:r>
    </w:p>
    <w:p>
      <w:pPr>
        <w:pStyle w:val="ListParagraph"/>
        <w:numPr>
          <w:ilvl w:val="0"/>
          <w:numId w:val="2"/>
        </w:numPr>
        <w:spacing w:after="80"/>
      </w:pPr>
      <w:r>
        <w:rPr>
          <w:rFonts w:ascii="Palatino Linotype" w:cs="Palatino Linotype" w:eastAsia="Palatino Linotype" w:hAnsi="Palatino Linotype"/>
          <w:sz w:val="22"/>
          <w:szCs w:val="22"/>
        </w:rPr>
        <w:t xml:space="preserve">(A1) Extensivity: x ≤ c_t(x).</w:t>
      </w:r>
    </w:p>
    <w:p>
      <w:pPr>
        <w:pStyle w:val="ListParagraph"/>
        <w:numPr>
          <w:ilvl w:val="0"/>
          <w:numId w:val="2"/>
        </w:numPr>
        <w:spacing w:after="80"/>
      </w:pPr>
      <w:r>
        <w:rPr>
          <w:rFonts w:ascii="Palatino Linotype" w:cs="Palatino Linotype" w:eastAsia="Palatino Linotype" w:hAnsi="Palatino Linotype"/>
          <w:sz w:val="22"/>
          <w:szCs w:val="22"/>
        </w:rPr>
        <w:t xml:space="preserve">(A2) Monotonicity in x: x ≤ y ⟹ c_t(x) ≤ c_t(y).</w:t>
      </w:r>
    </w:p>
    <w:p>
      <w:pPr>
        <w:pStyle w:val="ListParagraph"/>
        <w:numPr>
          <w:ilvl w:val="0"/>
          <w:numId w:val="2"/>
        </w:numPr>
        <w:spacing w:after="80"/>
      </w:pPr>
      <w:r>
        <w:rPr>
          <w:rFonts w:ascii="Palatino Linotype" w:cs="Palatino Linotype" w:eastAsia="Palatino Linotype" w:hAnsi="Palatino Linotype"/>
          <w:sz w:val="22"/>
          <w:szCs w:val="22"/>
        </w:rPr>
        <w:t xml:space="preserve">(A3) Idempotence at fixed grade: c_t(c_t(x)) = c_t(x).</w:t>
      </w:r>
    </w:p>
    <w:p>
      <w:pPr>
        <w:pStyle w:val="ListParagraph"/>
        <w:numPr>
          <w:ilvl w:val="0"/>
          <w:numId w:val="2"/>
        </w:numPr>
        <w:spacing w:after="80"/>
      </w:pPr>
      <w:r>
        <w:rPr>
          <w:rFonts w:ascii="Palatino Linotype" w:cs="Palatino Linotype" w:eastAsia="Palatino Linotype" w:hAnsi="Palatino Linotype"/>
          <w:sz w:val="22"/>
          <w:szCs w:val="22"/>
        </w:rPr>
        <w:t xml:space="preserve">(A4) Grade monotonicity: s ≤ t ⟹ c_s(x) ≤ c_t(x).</w:t>
      </w:r>
    </w:p>
    <w:p>
      <w:pPr>
        <w:pStyle w:val="ListParagraph"/>
        <w:numPr>
          <w:ilvl w:val="0"/>
          <w:numId w:val="2"/>
        </w:numPr>
        <w:spacing w:after="80"/>
      </w:pPr>
      <w:r>
        <w:rPr>
          <w:rFonts w:ascii="Palatino Linotype" w:cs="Palatino Linotype" w:eastAsia="Palatino Linotype" w:hAnsi="Palatino Linotype"/>
          <w:sz w:val="22"/>
          <w:szCs w:val="22"/>
        </w:rPr>
        <w:t xml:space="preserve">(A5) Absorption: s ≤ t ⟹ c_t(c_s(x)) = c_t(x).</w:t>
      </w:r>
    </w:p>
    <w:p>
      <w:pPr>
        <w:spacing w:after="160" w:line="276"/>
        <w:jc w:val="both"/>
      </w:pPr>
      <w:r>
        <w:rPr>
          <w:rFonts w:ascii="Palatino Linotype" w:cs="Palatino Linotype" w:eastAsia="Palatino Linotype" w:hAnsi="Palatino Linotype"/>
          <w:sz w:val="22"/>
          <w:szCs w:val="22"/>
        </w:rPr>
        <w:t xml:space="preserve">Axioms (A1)–(A3) say each c_t is, on its own, an ordinary closure operator in the sense of Definition 2.1. Axiom (A4) says the family only closes more as the threshold increases. Axiom (A5) is the coherence condition that makes the family behave as a genuine one-parameter refinement of a single closing process, rather than an arbitrary collection of unrelated closure operators satisfying (A4): it says that once an element has been closed at threshold t ≥ s, closing it first at the smaller threshold s changes nothing.</w:t>
      </w:r>
    </w:p>
    <w:p>
      <w:pPr>
        <w:spacing w:after="160" w:line="276"/>
        <w:jc w:val="both"/>
      </w:pPr>
      <w:r>
        <w:rPr>
          <w:rFonts w:ascii="Palatino Linotype" w:cs="Palatino Linotype" w:eastAsia="Palatino Linotype" w:hAnsi="Palatino Linotype"/>
          <w:sz w:val="22"/>
          <w:szCs w:val="22"/>
        </w:rPr>
        <w:t xml:space="preserve">It is worth noting that (A5) does not follow from (A1)–(A4) alone; independence is easy to check by exhibiting two closure operators satisfying (A1)–(A4) that do not absorb one another, so (A5) is a genuine additional axiom rather than a redundant consequence.</w:t>
      </w:r>
    </w:p>
    <w:p>
      <w:pPr>
        <w:spacing w:after="160" w:line="276"/>
        <w:jc w:val="both"/>
      </w:pPr>
      <w:r>
        <w:rPr>
          <w:rFonts w:ascii="Palatino Linotype" w:cs="Palatino Linotype" w:eastAsia="Palatino Linotype" w:hAnsi="Palatino Linotype"/>
          <w:sz w:val="22"/>
          <w:szCs w:val="22"/>
        </w:rPr>
        <w:t xml:space="preserve">Definition 3.2 (Threshold limit). </w:t>
      </w:r>
      <w:r>
        <w:rPr>
          <w:rFonts w:ascii="Palatino Linotype" w:cs="Palatino Linotype" w:eastAsia="Palatino Linotype" w:hAnsi="Palatino Linotype"/>
          <w:sz w:val="22"/>
          <w:szCs w:val="22"/>
        </w:rPr>
        <w:t xml:space="preserve">For P finite (or, more generally, whenever the relevant suprema exist), define c_∞(x) := c_t(x) for any t at which the non-decreasing chain x ≤ c_0(x) ≤ c_1(x) ≤ ⋯ has stabilized. We call the least such t the stabilization index of x, written T_max(x).</w:t>
      </w:r>
    </w:p>
    <w:p>
      <w:pPr>
        <w:spacing w:after="160" w:line="276"/>
        <w:jc w:val="both"/>
      </w:pPr>
      <w:r>
        <w:rPr>
          <w:rFonts w:ascii="Palatino Linotype" w:cs="Palatino Linotype" w:eastAsia="Palatino Linotype" w:hAnsi="Palatino Linotype"/>
          <w:sz w:val="22"/>
          <w:szCs w:val="22"/>
        </w:rPr>
        <w:t xml:space="preserve">That such a stabilization index exists for finite P is immediate from (A4): the sequence (c_t(x))_{t∈ℕ} is a non-decreasing sequence in a finite poset, hence eventually constant.</w:t>
      </w:r>
    </w:p>
    <w:p>
      <w:pPr>
        <w:pStyle w:val="Heading1"/>
        <w:pBdr>
          <w:bottom w:val="single" w:color="B8860B" w:sz="8" w:space="4"/>
        </w:pBdr>
        <w:spacing w:after="200" w:before="400"/>
      </w:pPr>
      <w:r>
        <w:rPr>
          <w:rFonts w:ascii="Arial" w:cs="Arial" w:eastAsia="Arial" w:hAnsi="Arial"/>
          <w:b/>
          <w:bCs/>
          <w:color w:val="1B2A4A"/>
          <w:sz w:val="30"/>
          <w:szCs w:val="30"/>
        </w:rPr>
        <w:t xml:space="preserve">4.  The Closure Spectrum and the Finite Spectrum Theorem</w:t>
      </w:r>
    </w:p>
    <w:p>
      <w:pPr>
        <w:spacing w:after="160" w:line="276"/>
        <w:jc w:val="both"/>
      </w:pPr>
      <w:r>
        <w:rPr>
          <w:rFonts w:ascii="Palatino Linotype" w:cs="Palatino Linotype" w:eastAsia="Palatino Linotype" w:hAnsi="Palatino Linotype"/>
          <w:sz w:val="22"/>
          <w:szCs w:val="22"/>
        </w:rPr>
        <w:t xml:space="preserve">Definition 4.1 (Closure spectrum). </w:t>
      </w:r>
      <w:r>
        <w:rPr>
          <w:rFonts w:ascii="Palatino Linotype" w:cs="Palatino Linotype" w:eastAsia="Palatino Linotype" w:hAnsi="Palatino Linotype"/>
          <w:sz w:val="22"/>
          <w:szCs w:val="22"/>
        </w:rPr>
        <w:t xml:space="preserve">Let {c_t}_{t∈ℕ} be a graded closure family on P and set c_{-1}(x) := x. The closure spectrum of x is</w:t>
      </w:r>
    </w:p>
    <w:p>
      <w:pPr>
        <w:spacing w:after="160" w:line="276"/>
        <w:jc w:val="center"/>
      </w:pPr>
      <w:r>
        <w:rPr>
          <w:rFonts w:ascii="Palatino Linotype" w:cs="Palatino Linotype" w:eastAsia="Palatino Linotype" w:hAnsi="Palatino Linotype"/>
          <w:i/>
          <w:iCs/>
          <w:sz w:val="22"/>
          <w:szCs w:val="22"/>
        </w:rPr>
        <w:t xml:space="preserve">Spec(x) := { t ∈ ℕ : c_t(x) ≠ c_{t-1}(x) },</w:t>
      </w:r>
    </w:p>
    <w:p>
      <w:pPr>
        <w:spacing w:after="160" w:line="276"/>
        <w:jc w:val="both"/>
      </w:pPr>
      <w:r>
        <w:rPr>
          <w:rFonts w:ascii="Palatino Linotype" w:cs="Palatino Linotype" w:eastAsia="Palatino Linotype" w:hAnsi="Palatino Linotype"/>
          <w:sz w:val="22"/>
          <w:szCs w:val="22"/>
        </w:rPr>
        <w:t xml:space="preserve">the set of threshold values at which the closure value strictly increases ("jump points"). By (A4), c_t(x) ≥ c_{t-1}(x) always, so t ∈ Spec(x) exactly when this inequality is strict.</w:t>
      </w:r>
    </w:p>
    <w:p>
      <w:pPr>
        <w:pBdr>
          <w:top w:val="single" w:color="B8860B" w:sz="6" w:space="6"/>
          <w:bottom w:val="single" w:color="B8860B" w:sz="6" w:space="6"/>
          <w:left w:val="single" w:color="B8860B" w:sz="6" w:space="6"/>
          <w:right w:val="single" w:color="B8860B" w:sz="6" w:space="6"/>
        </w:pBdr>
        <w:shd w:fill="F4F1E8" w:val="clear"/>
        <w:spacing w:after="60" w:before="160" w:line="276"/>
      </w:pPr>
      <w:r>
        <w:rPr>
          <w:rFonts w:ascii="Arial" w:cs="Arial" w:eastAsia="Arial" w:hAnsi="Arial"/>
          <w:b/>
          <w:bCs/>
          <w:color w:val="1B2A4A"/>
          <w:sz w:val="22"/>
          <w:szCs w:val="22"/>
        </w:rPr>
        <w:t xml:space="preserve">Theorem 4.2 (Finite Spectrum Theorem).  </w:t>
      </w:r>
      <w:r>
        <w:rPr>
          <w:rFonts w:ascii="Palatino Linotype" w:cs="Palatino Linotype" w:eastAsia="Palatino Linotype" w:hAnsi="Palatino Linotype"/>
          <w:i/>
          <w:iCs/>
          <w:sz w:val="22"/>
          <w:szCs w:val="22"/>
        </w:rPr>
        <w:t xml:space="preserve">Let P be a finite poset and {c_t} a graded closure family on P. For every x ∈ P, |Spec(x)| ≤ h([x, c_∞(x)]) ≤ h(P).</w:t>
      </w:r>
    </w:p>
    <w:p>
      <w:pPr>
        <w:spacing w:after="40" w:before="120"/>
      </w:pPr>
      <w:r>
        <w:rPr>
          <w:rFonts w:ascii="Palatino Linotype" w:cs="Palatino Linotype" w:eastAsia="Palatino Linotype" w:hAnsi="Palatino Linotype"/>
          <w:b/>
          <w:bCs/>
          <w:i/>
          <w:iCs/>
          <w:sz w:val="22"/>
          <w:szCs w:val="22"/>
        </w:rPr>
        <w:t xml:space="preserve">Proof.</w:t>
      </w:r>
    </w:p>
    <w:p>
      <w:pPr>
        <w:spacing w:after="100" w:line="276"/>
        <w:ind w:left="360"/>
        <w:jc w:val="both"/>
      </w:pPr>
      <w:r>
        <w:rPr>
          <w:rFonts w:ascii="Palatino Linotype" w:cs="Palatino Linotype" w:eastAsia="Palatino Linotype" w:hAnsi="Palatino Linotype"/>
          <w:sz w:val="22"/>
          <w:szCs w:val="22"/>
        </w:rPr>
        <w:t xml:space="preserve">Let t₁ &lt; t₂ &lt; ⋯ &lt; t_k be the elements of Spec(x), so k = |Spec(x)|. By definition, c_{t_i}(x) ≠ c_{t_i - 1}(x) for each i, and by (A4) applied repeatedly, c_{t_i}(x) ≥ c_{t_i-1}(x); combined with the inequality being non-strict at every intermediate grade (grades not in Spec(x) contribute no change), the values c_{t_1}(x) &lt; c_{t_2}(x) &lt; ⋯ &lt; c_{t_k}(x) form a strictly increasing chain in P.</w:t>
      </w:r>
    </w:p>
    <w:p>
      <w:pPr>
        <w:spacing w:after="100" w:line="276"/>
        <w:ind w:left="360"/>
        <w:jc w:val="both"/>
      </w:pPr>
      <w:r>
        <w:rPr>
          <w:rFonts w:ascii="Palatino Linotype" w:cs="Palatino Linotype" w:eastAsia="Palatino Linotype" w:hAnsi="Palatino Linotype"/>
          <w:sz w:val="22"/>
          <w:szCs w:val="22"/>
        </w:rPr>
        <w:t xml:space="preserve">Prepending x itself, x ≤ c_{t_1}(x) &lt; c_{t_2}(x) &lt; ⋯ &lt; c_{t_k}(x) = c_∞(x) is a chain of k+1 elements lying entirely inside the interval [x, c_∞(x)] (each term lies between x and c_∞(x) by (A1) and (A4)/monotone stabilization).</w:t>
      </w:r>
    </w:p>
    <w:p>
      <w:pPr>
        <w:spacing w:after="100" w:line="276"/>
        <w:ind w:left="360"/>
        <w:jc w:val="both"/>
      </w:pPr>
      <w:r>
        <w:rPr>
          <w:rFonts w:ascii="Palatino Linotype" w:cs="Palatino Linotype" w:eastAsia="Palatino Linotype" w:hAnsi="Palatino Linotype"/>
          <w:sz w:val="22"/>
          <w:szCs w:val="22"/>
        </w:rPr>
        <w:t xml:space="preserve">A chain of k+1 elements in a poset of height h([x, c_∞(x)]) forces k ≤ h([x, c_∞(x)]), by the definition of height as the largest chain length. Since [x, c_∞(x)] ⊆ P, h([x, c_∞(x)]) ≤ h(P), giving |Spec(x)| = k ≤ h(P).</w:t>
      </w:r>
    </w:p>
    <w:p>
      <w:pPr>
        <w:spacing w:after="160"/>
        <w:jc w:val="right"/>
      </w:pPr>
      <w:r>
        <w:rPr>
          <w:rFonts w:ascii="Palatino Linotype" w:cs="Palatino Linotype" w:eastAsia="Palatino Linotype" w:hAnsi="Palatino Linotype"/>
          <w:b/>
          <w:bCs/>
          <w:sz w:val="22"/>
          <w:szCs w:val="22"/>
        </w:rPr>
        <w:t xml:space="preserve">∎</w:t>
      </w:r>
    </w:p>
    <w:p>
      <w:pPr>
        <w:spacing w:after="160" w:line="276"/>
        <w:jc w:val="both"/>
      </w:pPr>
      <w:r>
        <w:rPr>
          <w:rFonts w:ascii="Palatino Linotype" w:cs="Palatino Linotype" w:eastAsia="Palatino Linotype" w:hAnsi="Palatino Linotype"/>
          <w:sz w:val="22"/>
          <w:szCs w:val="22"/>
        </w:rPr>
        <w:t xml:space="preserve">Theorem 4.2 says the closure spectrum, although defined over a potentially unbounded threshold set T, is always a finite combinatorial invariant when P is finite, and it is governed entirely by the order-theoretic size of the interval an element must traverse to reach its final closure — not by the fineness of the grading.</w:t>
      </w:r>
    </w:p>
    <w:p>
      <w:pPr>
        <w:pStyle w:val="Heading1"/>
        <w:pBdr>
          <w:bottom w:val="single" w:color="B8860B" w:sz="8" w:space="4"/>
        </w:pBdr>
        <w:spacing w:after="200" w:before="400"/>
      </w:pPr>
      <w:r>
        <w:rPr>
          <w:rFonts w:ascii="Arial" w:cs="Arial" w:eastAsia="Arial" w:hAnsi="Arial"/>
          <w:b/>
          <w:bCs/>
          <w:color w:val="1B2A4A"/>
          <w:sz w:val="30"/>
          <w:szCs w:val="30"/>
        </w:rPr>
        <w:t xml:space="preserve">5.  Composition of Commuting Graded Families</w:t>
      </w:r>
    </w:p>
    <w:p>
      <w:pPr>
        <w:spacing w:after="160" w:line="276"/>
        <w:jc w:val="both"/>
      </w:pPr>
      <w:r>
        <w:rPr>
          <w:rFonts w:ascii="Palatino Linotype" w:cs="Palatino Linotype" w:eastAsia="Palatino Linotype" w:hAnsi="Palatino Linotype"/>
          <w:sz w:val="22"/>
          <w:szCs w:val="22"/>
        </w:rPr>
        <w:t xml:space="preserve">Two graded closure families can be combined provided they interact coherently. We show that grade-wise commutativity is sufficient for the composite family to again satisfy all five axioms — a non-trivial fact, since composing two closure operators is well known to fail to produce a closure operator in general unless a commutativity condition is imposed even in the classical (ungraded) case.</w:t>
      </w:r>
    </w:p>
    <w:p>
      <w:pPr>
        <w:pBdr>
          <w:top w:val="single" w:color="B8860B" w:sz="6" w:space="6"/>
          <w:bottom w:val="single" w:color="B8860B" w:sz="6" w:space="6"/>
          <w:left w:val="single" w:color="B8860B" w:sz="6" w:space="6"/>
          <w:right w:val="single" w:color="B8860B" w:sz="6" w:space="6"/>
        </w:pBdr>
        <w:shd w:fill="F4F1E8" w:val="clear"/>
        <w:spacing w:after="60" w:before="160" w:line="276"/>
      </w:pPr>
      <w:r>
        <w:rPr>
          <w:rFonts w:ascii="Arial" w:cs="Arial" w:eastAsia="Arial" w:hAnsi="Arial"/>
          <w:b/>
          <w:bCs/>
          <w:color w:val="1B2A4A"/>
          <w:sz w:val="22"/>
          <w:szCs w:val="22"/>
        </w:rPr>
        <w:t xml:space="preserve">Theorem 5.1 (Grade Composition Theorem).  </w:t>
      </w:r>
      <w:r>
        <w:rPr>
          <w:rFonts w:ascii="Palatino Linotype" w:cs="Palatino Linotype" w:eastAsia="Palatino Linotype" w:hAnsi="Palatino Linotype"/>
          <w:i/>
          <w:iCs/>
          <w:sz w:val="22"/>
          <w:szCs w:val="22"/>
        </w:rPr>
        <w:t xml:space="preserve">Let {c_t}_{t∈T} and {d_t}_{t∈T} be T-graded closure families on P such that c_t ∘ d_s = d_s ∘ c_t for all s, t ∈ T. Then e_t := c_t ∘ d_t defines a T-graded closure family on P.</w:t>
      </w:r>
    </w:p>
    <w:p>
      <w:pPr>
        <w:spacing w:after="40" w:before="120"/>
      </w:pPr>
      <w:r>
        <w:rPr>
          <w:rFonts w:ascii="Palatino Linotype" w:cs="Palatino Linotype" w:eastAsia="Palatino Linotype" w:hAnsi="Palatino Linotype"/>
          <w:b/>
          <w:bCs/>
          <w:i/>
          <w:iCs/>
          <w:sz w:val="22"/>
          <w:szCs w:val="22"/>
        </w:rPr>
        <w:t xml:space="preserve">Proof.</w:t>
      </w:r>
    </w:p>
    <w:p>
      <w:pPr>
        <w:spacing w:after="100" w:line="276"/>
        <w:ind w:left="360"/>
        <w:jc w:val="both"/>
      </w:pPr>
      <w:r>
        <w:rPr>
          <w:rFonts w:ascii="Palatino Linotype" w:cs="Palatino Linotype" w:eastAsia="Palatino Linotype" w:hAnsi="Palatino Linotype"/>
          <w:sz w:val="22"/>
          <w:szCs w:val="22"/>
        </w:rPr>
        <w:t xml:space="preserve">(A1) Extensivity. For x ∈ P: x ≤ d_t(x) ≤ c_t(d_t(x)) = e_t(x), using extensivity of d_t and then of c_t.</w:t>
      </w:r>
    </w:p>
    <w:p>
      <w:pPr>
        <w:spacing w:after="100" w:line="276"/>
        <w:ind w:left="360"/>
        <w:jc w:val="both"/>
      </w:pPr>
      <w:r>
        <w:rPr>
          <w:rFonts w:ascii="Palatino Linotype" w:cs="Palatino Linotype" w:eastAsia="Palatino Linotype" w:hAnsi="Palatino Linotype"/>
          <w:sz w:val="22"/>
          <w:szCs w:val="22"/>
        </w:rPr>
        <w:t xml:space="preserve">(A2) Monotonicity in x. If x ≤ y, monotonicity of d_t gives d_t(x) ≤ d_t(y); monotonicity of c_t then gives c_t(d_t(x)) ≤ c_t(d_t(y)), i.e. e_t(x) ≤ e_t(y).</w:t>
      </w:r>
    </w:p>
    <w:p>
      <w:pPr>
        <w:spacing w:after="100" w:line="276"/>
        <w:ind w:left="360"/>
        <w:jc w:val="both"/>
      </w:pPr>
      <w:r>
        <w:rPr>
          <w:rFonts w:ascii="Palatino Linotype" w:cs="Palatino Linotype" w:eastAsia="Palatino Linotype" w:hAnsi="Palatino Linotype"/>
          <w:sz w:val="22"/>
          <w:szCs w:val="22"/>
        </w:rPr>
        <w:t xml:space="preserve">(A3) Idempotence. Using c_t ∘ d_t = d_t ∘ c_t (the hypothesis at s = t) to swap the middle two factors, e_t(e_t(x)) = c_t d_t c_t d_t(x) = c_t c_t d_t d_t(x) = c_t(d_t(x)) = e_t(x), where the last simplification uses idempotence of c_t and of d_t individually.</w:t>
      </w:r>
    </w:p>
    <w:p>
      <w:pPr>
        <w:spacing w:after="100" w:line="276"/>
        <w:ind w:left="360"/>
        <w:jc w:val="both"/>
      </w:pPr>
      <w:r>
        <w:rPr>
          <w:rFonts w:ascii="Palatino Linotype" w:cs="Palatino Linotype" w:eastAsia="Palatino Linotype" w:hAnsi="Palatino Linotype"/>
          <w:sz w:val="22"/>
          <w:szCs w:val="22"/>
        </w:rPr>
        <w:t xml:space="preserve">(A4) Grade monotonicity. Fix s ≤ t. By (A4) for d, d_s(x) ≤ d_t(x); by (A2) for c, c_s(d_s(x)) ≤ c_s(d_t(x)); by (A4) for c applied at the point d_t(x), c_s(d_t(x)) ≤ c_t(d_t(x)). Chaining these, e_s(x) = c_s(d_s(x)) ≤ c_t(d_t(x)) = e_t(x).</w:t>
      </w:r>
    </w:p>
    <w:p>
      <w:pPr>
        <w:spacing w:after="100" w:line="276"/>
        <w:ind w:left="360"/>
        <w:jc w:val="both"/>
      </w:pPr>
      <w:r>
        <w:rPr>
          <w:rFonts w:ascii="Palatino Linotype" w:cs="Palatino Linotype" w:eastAsia="Palatino Linotype" w:hAnsi="Palatino Linotype"/>
          <w:sz w:val="22"/>
          <w:szCs w:val="22"/>
        </w:rPr>
        <w:t xml:space="preserve">(A5) Absorption. Fix s ≤ t. Using the commutativity hypothesis to move d_t past c_s, e_t(e_s(x)) = c_t d_t c_s d_s(x) = c_t c_s d_t d_s(x) = c_t c_s(d_t(x)) = c_t(d_t(x)) = e_t(x), where the third equality uses absorption for d (s ≤ t ⟹ d_t d_s = d_t) and the fourth uses absorption for c (s ≤ t ⟹ c_t c_s = c_t).</w:t>
      </w:r>
    </w:p>
    <w:p>
      <w:pPr>
        <w:spacing w:after="160"/>
        <w:jc w:val="right"/>
      </w:pPr>
      <w:r>
        <w:rPr>
          <w:rFonts w:ascii="Palatino Linotype" w:cs="Palatino Linotype" w:eastAsia="Palatino Linotype" w:hAnsi="Palatino Linotype"/>
          <w:b/>
          <w:bCs/>
          <w:sz w:val="22"/>
          <w:szCs w:val="22"/>
        </w:rPr>
        <w:t xml:space="preserve">∎</w:t>
      </w:r>
    </w:p>
    <w:p>
      <w:pPr>
        <w:spacing w:after="160" w:line="276"/>
        <w:jc w:val="both"/>
      </w:pPr>
      <w:r>
        <w:rPr>
          <w:rFonts w:ascii="Palatino Linotype" w:cs="Palatino Linotype" w:eastAsia="Palatino Linotype" w:hAnsi="Palatino Linotype"/>
          <w:sz w:val="22"/>
          <w:szCs w:val="22"/>
        </w:rPr>
        <w:t xml:space="preserve">Theorem 5.1 shows the class of graded closure families is closed under composition whenever the commutativity hypothesis holds, which is automatic, for instance, whenever the two families act on independent coordinates of a product poset — the situation illustrated in Section 7.</w:t>
      </w:r>
    </w:p>
    <w:p>
      <w:pPr>
        <w:pStyle w:val="Heading1"/>
        <w:pBdr>
          <w:bottom w:val="single" w:color="B8860B" w:sz="8" w:space="4"/>
        </w:pBdr>
        <w:spacing w:after="200" w:before="400"/>
      </w:pPr>
      <w:r>
        <w:rPr>
          <w:rFonts w:ascii="Arial" w:cs="Arial" w:eastAsia="Arial" w:hAnsi="Arial"/>
          <w:b/>
          <w:bCs/>
          <w:color w:val="1B2A4A"/>
          <w:sz w:val="30"/>
          <w:szCs w:val="30"/>
        </w:rPr>
        <w:t xml:space="preserve">6.  The Fixed Point Theorem</w:t>
      </w:r>
    </w:p>
    <w:p>
      <w:pPr>
        <w:pBdr>
          <w:top w:val="single" w:color="B8860B" w:sz="6" w:space="6"/>
          <w:bottom w:val="single" w:color="B8860B" w:sz="6" w:space="6"/>
          <w:left w:val="single" w:color="B8860B" w:sz="6" w:space="6"/>
          <w:right w:val="single" w:color="B8860B" w:sz="6" w:space="6"/>
        </w:pBdr>
        <w:shd w:fill="F4F1E8" w:val="clear"/>
        <w:spacing w:after="60" w:before="160" w:line="276"/>
      </w:pPr>
      <w:r>
        <w:rPr>
          <w:rFonts w:ascii="Arial" w:cs="Arial" w:eastAsia="Arial" w:hAnsi="Arial"/>
          <w:b/>
          <w:bCs/>
          <w:color w:val="1B2A4A"/>
          <w:sz w:val="22"/>
          <w:szCs w:val="22"/>
        </w:rPr>
        <w:t xml:space="preserve">Theorem 6.1 (Fixed Point Theorem).  </w:t>
      </w:r>
      <w:r>
        <w:rPr>
          <w:rFonts w:ascii="Palatino Linotype" w:cs="Palatino Linotype" w:eastAsia="Palatino Linotype" w:hAnsi="Palatino Linotype"/>
          <w:i/>
          <w:iCs/>
          <w:sz w:val="22"/>
          <w:szCs w:val="22"/>
        </w:rPr>
        <w:t xml:space="preserve">Let P be finite and {c_t}_{t∈ℕ} a graded closure family on P. Then c_∞ : P → P is an ordinary closure operator on P in the sense of Definition 2.1. Consequently, if P is (or embeds as an interval in) a complete lattice, the set Fix(c_∞) is a complete lattice under the order inherited from P, with joins given by ⋁_{Fix(c_∞)} S = c_∞(⋁_P S).</w:t>
      </w:r>
    </w:p>
    <w:p>
      <w:pPr>
        <w:spacing w:after="40" w:before="120"/>
      </w:pPr>
      <w:r>
        <w:rPr>
          <w:rFonts w:ascii="Palatino Linotype" w:cs="Palatino Linotype" w:eastAsia="Palatino Linotype" w:hAnsi="Palatino Linotype"/>
          <w:b/>
          <w:bCs/>
          <w:i/>
          <w:iCs/>
          <w:sz w:val="22"/>
          <w:szCs w:val="22"/>
        </w:rPr>
        <w:t xml:space="preserve">Proof.</w:t>
      </w:r>
    </w:p>
    <w:p>
      <w:pPr>
        <w:spacing w:after="100" w:line="276"/>
        <w:ind w:left="360"/>
        <w:jc w:val="both"/>
      </w:pPr>
      <w:r>
        <w:rPr>
          <w:rFonts w:ascii="Palatino Linotype" w:cs="Palatino Linotype" w:eastAsia="Palatino Linotype" w:hAnsi="Palatino Linotype"/>
          <w:sz w:val="22"/>
          <w:szCs w:val="22"/>
        </w:rPr>
        <w:t xml:space="preserve">Extensivity of c_∞. By definition c_∞(x) = c_t(x) for t = T_max(x), and x ≤ c_t(x) by (A1); hence x ≤ c_∞(x).</w:t>
      </w:r>
    </w:p>
    <w:p>
      <w:pPr>
        <w:spacing w:after="100" w:line="276"/>
        <w:ind w:left="360"/>
        <w:jc w:val="both"/>
      </w:pPr>
      <w:r>
        <w:rPr>
          <w:rFonts w:ascii="Palatino Linotype" w:cs="Palatino Linotype" w:eastAsia="Palatino Linotype" w:hAnsi="Palatino Linotype"/>
          <w:sz w:val="22"/>
          <w:szCs w:val="22"/>
        </w:rPr>
        <w:t xml:space="preserve">Monotonicity of c_∞. Suppose x ≤ y and let t ≥ max(T_max(x), T_max(y)), which exists since T = ℕ is unbounded and both stabilization indices are finite (finiteness of P). Then c_∞(x) = c_t(x) and c_∞(y) = c_t(y); by (A2), c_t(x) ≤ c_t(y), so c_∞(x) ≤ c_∞(y).</w:t>
      </w:r>
    </w:p>
    <w:p>
      <w:pPr>
        <w:spacing w:after="100" w:line="276"/>
        <w:ind w:left="360"/>
        <w:jc w:val="both"/>
      </w:pPr>
      <w:r>
        <w:rPr>
          <w:rFonts w:ascii="Palatino Linotype" w:cs="Palatino Linotype" w:eastAsia="Palatino Linotype" w:hAnsi="Palatino Linotype"/>
          <w:sz w:val="22"/>
          <w:szCs w:val="22"/>
        </w:rPr>
        <w:t xml:space="preserve">Idempotence of c_∞. Let t = T_max(x), so c_∞(x) = c_t(x). For any s ≥ t, absorption (A5) gives c_s(c_t(x)) = c_s(x), and since s ≥ t = T_max(x), c_s(x) = c_t(x). Hence c_s(c_t(x)) = c_t(x) for all s ≥ t, i.e. the sequence (c_s(c_t(x)))_{s} is already constant from grade t onward, so T_max(c_t(x)) ≤ t and c_∞(c_t(x)) = c_t(x). Substituting c_∞(x) = c_t(x) gives c_∞(c_∞(x)) = c_∞(x).</w:t>
      </w:r>
    </w:p>
    <w:p>
      <w:pPr>
        <w:spacing w:after="100" w:line="276"/>
        <w:ind w:left="360"/>
        <w:jc w:val="both"/>
      </w:pPr>
      <w:r>
        <w:rPr>
          <w:rFonts w:ascii="Palatino Linotype" w:cs="Palatino Linotype" w:eastAsia="Palatino Linotype" w:hAnsi="Palatino Linotype"/>
          <w:sz w:val="22"/>
          <w:szCs w:val="22"/>
        </w:rPr>
        <w:t xml:space="preserve">Having established that c_∞ satisfies (i)–(iii) of Definition 2.1, it is an ordinary closure operator on P, and the stated lattice structure on Fix(c_∞) follows from the classical closure-operator lattice theorem recalled in Section 2.</w:t>
      </w:r>
    </w:p>
    <w:p>
      <w:pPr>
        <w:spacing w:after="160"/>
        <w:jc w:val="right"/>
      </w:pPr>
      <w:r>
        <w:rPr>
          <w:rFonts w:ascii="Palatino Linotype" w:cs="Palatino Linotype" w:eastAsia="Palatino Linotype" w:hAnsi="Palatino Linotype"/>
          <w:b/>
          <w:bCs/>
          <w:sz w:val="22"/>
          <w:szCs w:val="22"/>
        </w:rPr>
        <w:t xml:space="preserve">∎</w:t>
      </w:r>
    </w:p>
    <w:p>
      <w:pPr>
        <w:spacing w:after="160" w:line="276"/>
        <w:jc w:val="both"/>
      </w:pPr>
      <w:r>
        <w:rPr>
          <w:rFonts w:ascii="Palatino Linotype" w:cs="Palatino Linotype" w:eastAsia="Palatino Linotype" w:hAnsi="Palatino Linotype"/>
          <w:sz w:val="22"/>
          <w:szCs w:val="22"/>
        </w:rPr>
        <w:t xml:space="preserve">The content of Theorem 6.1 beyond the classical fact it invokes is the first half: that a coherently graded, potentially infinite family of closure operators collapses, via the absorption axiom, into a single ordinary closure operator at the limit. This is what licenses importing the entire classical closure-operator toolkit (fixed-point lattices, Galois-connection correspondences, concept lattices) into any threshold-graded setting without modification.</w:t>
      </w:r>
    </w:p>
    <w:p>
      <w:pPr>
        <w:pStyle w:val="Heading1"/>
        <w:pBdr>
          <w:bottom w:val="single" w:color="B8860B" w:sz="8" w:space="4"/>
        </w:pBdr>
        <w:spacing w:after="200" w:before="400"/>
      </w:pPr>
      <w:r>
        <w:rPr>
          <w:rFonts w:ascii="Arial" w:cs="Arial" w:eastAsia="Arial" w:hAnsi="Arial"/>
          <w:b/>
          <w:bCs/>
          <w:color w:val="1B2A4A"/>
          <w:sz w:val="30"/>
          <w:szCs w:val="30"/>
        </w:rPr>
        <w:t xml:space="preserve">7.  A Worked Example: Weighted-Graph Connectivity Closures</w:t>
      </w:r>
    </w:p>
    <w:p>
      <w:pPr>
        <w:spacing w:after="160" w:line="276"/>
        <w:jc w:val="both"/>
      </w:pPr>
      <w:r>
        <w:rPr>
          <w:rFonts w:ascii="Palatino Linotype" w:cs="Palatino Linotype" w:eastAsia="Palatino Linotype" w:hAnsi="Palatino Linotype"/>
          <w:sz w:val="22"/>
          <w:szCs w:val="22"/>
        </w:rPr>
        <w:t xml:space="preserve">Let X = {a, b, c, d} and let P = 2^X, the Boolean lattice of subsets of X under inclusion, which has height h(P) = 4. Equip X with a weighted graph: edges (a,b) and (c,d) of weight 1, edge (b,c) of weight 2, and no edge (of any finite weight) between any other pair.</w:t>
      </w:r>
    </w:p>
    <w:p>
      <w:pPr>
        <w:spacing w:after="160" w:line="276"/>
        <w:jc w:val="both"/>
      </w:pPr>
      <w:r>
        <w:rPr>
          <w:rFonts w:ascii="Palatino Linotype" w:cs="Palatino Linotype" w:eastAsia="Palatino Linotype" w:hAnsi="Palatino Linotype"/>
          <w:sz w:val="22"/>
          <w:szCs w:val="22"/>
        </w:rPr>
        <w:t xml:space="preserve">For a threshold t ∈ ℕ, let G_t be the graph on X containing exactly the edges of weight ≤ t, and define c_t(S) to be the union of all connected components of G_t that intersect S, for S ⊆ X.</w:t>
      </w:r>
    </w:p>
    <w:p>
      <w:pPr>
        <w:spacing w:after="160" w:line="276"/>
        <w:jc w:val="both"/>
      </w:pPr>
      <w:r>
        <w:rPr>
          <w:rFonts w:ascii="Palatino Linotype" w:cs="Palatino Linotype" w:eastAsia="Palatino Linotype" w:hAnsi="Palatino Linotype"/>
          <w:sz w:val="22"/>
          <w:szCs w:val="22"/>
        </w:rPr>
        <w:t xml:space="preserve">Verification of axioms. </w:t>
      </w:r>
      <w:r>
        <w:rPr>
          <w:rFonts w:ascii="Palatino Linotype" w:cs="Palatino Linotype" w:eastAsia="Palatino Linotype" w:hAnsi="Palatino Linotype"/>
          <w:sz w:val="22"/>
          <w:szCs w:val="22"/>
        </w:rPr>
        <w:t xml:space="preserve">Extensivity and monotonicity in S are immediate, since c_t(S) is a union of components each containing a point of S. Idempotence at fixed t holds because c_t(S) is already a union of full G_t-components, so re-applying c_t returns the same components. Grade monotonicity holds because s ≤ t implies G_s ⊆ G_t (fewer edges), so every G_s-component is contained in a single G_t-component, giving c_s(S) ⊆ c_t(S). Absorption holds for the same refinement reason: the G_t-components met by c_s(S) are exactly the G_t-components met by S itself, so c_t(c_s(S)) = c_t(S) whenever s ≤ t.</w:t>
      </w:r>
    </w:p>
    <w:p>
      <w:pPr>
        <w:pStyle w:val="Heading2"/>
        <w:spacing w:after="140" w:before="280"/>
      </w:pPr>
      <w:r>
        <w:rPr>
          <w:rFonts w:ascii="Arial" w:cs="Arial" w:eastAsia="Arial" w:hAnsi="Arial"/>
          <w:b/>
          <w:bCs/>
          <w:color w:val="1B2A4A"/>
          <w:sz w:val="24"/>
          <w:szCs w:val="24"/>
        </w:rPr>
        <w:t xml:space="preserve">Computing Spec({a})</w:t>
      </w:r>
    </w:p>
    <w:p>
      <w:pPr>
        <w:pStyle w:val="ListParagraph"/>
        <w:numPr>
          <w:ilvl w:val="0"/>
          <w:numId w:val="2"/>
        </w:numPr>
        <w:spacing w:after="80"/>
      </w:pPr>
      <w:r>
        <w:rPr>
          <w:rFonts w:ascii="Palatino Linotype" w:cs="Palatino Linotype" w:eastAsia="Palatino Linotype" w:hAnsi="Palatino Linotype"/>
          <w:sz w:val="22"/>
          <w:szCs w:val="22"/>
        </w:rPr>
        <w:t xml:space="preserve">t = 0: G₀ has no edges (all edges have positive weight). Components are singletons, so c₀({a}) = {a}.</w:t>
      </w:r>
    </w:p>
    <w:p>
      <w:pPr>
        <w:pStyle w:val="ListParagraph"/>
        <w:numPr>
          <w:ilvl w:val="0"/>
          <w:numId w:val="2"/>
        </w:numPr>
        <w:spacing w:after="80"/>
      </w:pPr>
      <w:r>
        <w:rPr>
          <w:rFonts w:ascii="Palatino Linotype" w:cs="Palatino Linotype" w:eastAsia="Palatino Linotype" w:hAnsi="Palatino Linotype"/>
          <w:sz w:val="22"/>
          <w:szCs w:val="22"/>
        </w:rPr>
        <w:t xml:space="preserve">t = 1: G₁ contains edges (a,b) and (c,d). Components: {a,b}, {c,d}. So c₁({a}) = {a,b} — a jump.</w:t>
      </w:r>
    </w:p>
    <w:p>
      <w:pPr>
        <w:pStyle w:val="ListParagraph"/>
        <w:numPr>
          <w:ilvl w:val="0"/>
          <w:numId w:val="2"/>
        </w:numPr>
        <w:spacing w:after="80"/>
      </w:pPr>
      <w:r>
        <w:rPr>
          <w:rFonts w:ascii="Palatino Linotype" w:cs="Palatino Linotype" w:eastAsia="Palatino Linotype" w:hAnsi="Palatino Linotype"/>
          <w:sz w:val="22"/>
          <w:szCs w:val="22"/>
        </w:rPr>
        <w:t xml:space="preserve">t = 2: G₂ contains all three edges, connecting everything into one component {a,b,c,d}. So c₂({a}) = X — a jump.</w:t>
      </w:r>
    </w:p>
    <w:p>
      <w:pPr>
        <w:pStyle w:val="ListParagraph"/>
        <w:numPr>
          <w:ilvl w:val="0"/>
          <w:numId w:val="2"/>
        </w:numPr>
        <w:spacing w:after="80"/>
      </w:pPr>
      <w:r>
        <w:rPr>
          <w:rFonts w:ascii="Palatino Linotype" w:cs="Palatino Linotype" w:eastAsia="Palatino Linotype" w:hAnsi="Palatino Linotype"/>
          <w:sz w:val="22"/>
          <w:szCs w:val="22"/>
        </w:rPr>
        <w:t xml:space="preserve">t ≥ 2: no further edges are added, so c_t({a}) = X remains constant; T_max({a}) = 2.</w:t>
      </w:r>
    </w:p>
    <w:p>
      <w:pPr>
        <w:spacing w:after="160" w:line="276"/>
        <w:jc w:val="both"/>
      </w:pPr>
      <w:r>
        <w:rPr>
          <w:rFonts w:ascii="Palatino Linotype" w:cs="Palatino Linotype" w:eastAsia="Palatino Linotype" w:hAnsi="Palatino Linotype"/>
          <w:sz w:val="22"/>
          <w:szCs w:val="22"/>
        </w:rPr>
        <w:t xml:space="preserve">Hence Spec({a}) = {1, 2}, so |Spec({a})| = 2. The interval [{a}, X] in 2^X has height 3 (from a 1-element set to the 4-element set X), and indeed 2 ≤ 3 ≤ h(P) = 4, confirming Theorem 4.2 on this instance.</w:t>
      </w:r>
    </w:p>
    <w:p>
      <w:pPr>
        <w:pStyle w:val="Heading2"/>
        <w:spacing w:after="140" w:before="280"/>
      </w:pPr>
      <w:r>
        <w:rPr>
          <w:rFonts w:ascii="Arial" w:cs="Arial" w:eastAsia="Arial" w:hAnsi="Arial"/>
          <w:b/>
          <w:bCs/>
          <w:color w:val="1B2A4A"/>
          <w:sz w:val="24"/>
          <w:szCs w:val="24"/>
        </w:rPr>
        <w:t xml:space="preserve">A commuting pair and Theorem 5.1</w:t>
      </w:r>
    </w:p>
    <w:p>
      <w:pPr>
        <w:spacing w:after="160" w:line="276"/>
        <w:jc w:val="both"/>
      </w:pPr>
      <w:r>
        <w:rPr>
          <w:rFonts w:ascii="Palatino Linotype" w:cs="Palatino Linotype" w:eastAsia="Palatino Linotype" w:hAnsi="Palatino Linotype"/>
          <w:sz w:val="22"/>
          <w:szCs w:val="22"/>
        </w:rPr>
        <w:t xml:space="preserve">Let Y be a second, disjoint vertex set with its own weighted graph and connectivity closure family {d_t} on 2^Y, defined exactly as above. On the product poset P × 2^Y, extend each family coordinatewise: c_t(S, Q) := (c_t(S), Q) and d_t(S, Q) := (S, d_t(Q)). Since c_t only ever modifies the first coordinate and d_s only ever modifies the second, c_t ∘ d_s = d_s ∘ c_t trivially for every s, t, so Theorem 5.1 applies: e_t(S, Q) = (c_t(S), d_t(Q)) is itself a graded closure family on the product poset, closing each coordinate independently and in lockstep with the shared threshold.</w:t>
      </w:r>
    </w:p>
    <w:p>
      <w:pPr>
        <w:pStyle w:val="Heading1"/>
        <w:pBdr>
          <w:bottom w:val="single" w:color="B8860B" w:sz="8" w:space="4"/>
        </w:pBdr>
        <w:spacing w:after="200" w:before="400"/>
      </w:pPr>
      <w:r>
        <w:rPr>
          <w:rFonts w:ascii="Arial" w:cs="Arial" w:eastAsia="Arial" w:hAnsi="Arial"/>
          <w:b/>
          <w:bCs/>
          <w:color w:val="1B2A4A"/>
          <w:sz w:val="30"/>
          <w:szCs w:val="30"/>
        </w:rPr>
        <w:t xml:space="preserve">8.  Connections to Adjacent Structures</w:t>
      </w:r>
    </w:p>
    <w:p>
      <w:pPr>
        <w:spacing w:after="160" w:line="276"/>
        <w:jc w:val="both"/>
      </w:pPr>
      <w:r>
        <w:rPr>
          <w:rFonts w:ascii="Palatino Linotype" w:cs="Palatino Linotype" w:eastAsia="Palatino Linotype" w:hAnsi="Palatino Linotype"/>
          <w:sz w:val="22"/>
          <w:szCs w:val="22"/>
        </w:rPr>
        <w:t xml:space="preserve">Threshold-graded closure families sit conceptually alongside several established filtration-type structures, though TGCT is developed here as a self-contained order-theoretic theory rather than as a reformulation of any one of them.</w:t>
      </w:r>
    </w:p>
    <w:p>
      <w:pPr>
        <w:pStyle w:val="ListParagraph"/>
        <w:numPr>
          <w:ilvl w:val="0"/>
          <w:numId w:val="2"/>
        </w:numPr>
        <w:spacing w:after="80"/>
      </w:pPr>
      <w:r>
        <w:rPr>
          <w:rFonts w:ascii="Palatino Linotype" w:cs="Palatino Linotype" w:eastAsia="Palatino Linotype" w:hAnsi="Palatino Linotype"/>
          <w:sz w:val="22"/>
          <w:szCs w:val="22"/>
        </w:rPr>
        <w:t xml:space="preserve">Persistence modules (topological data analysis) study filtered simplicial complexes and the induced maps on homology as a parameter increases; the closure spectrum of Section 4 plays a role analogous to the birth–death pairs of a persistence diagram, but is defined purely combinatorially on a poset, with no homological content required.</w:t>
      </w:r>
    </w:p>
    <w:p>
      <w:pPr>
        <w:pStyle w:val="ListParagraph"/>
        <w:numPr>
          <w:ilvl w:val="0"/>
          <w:numId w:val="2"/>
        </w:numPr>
        <w:spacing w:after="80"/>
      </w:pPr>
      <w:r>
        <w:rPr>
          <w:rFonts w:ascii="Palatino Linotype" w:cs="Palatino Linotype" w:eastAsia="Palatino Linotype" w:hAnsi="Palatino Linotype"/>
          <w:sz w:val="22"/>
          <w:szCs w:val="22"/>
        </w:rPr>
        <w:t xml:space="preserve">Galois connections and formal concept analysis use a single closure operator to define a concept lattice; Theorem 6.1 shows that any threshold-graded refinement of such a closure collapses, at the limit, back into an ordinary closure operator, so the concept-lattice machinery of formal concept analysis applies unchanged to c_∞.</w:t>
      </w:r>
    </w:p>
    <w:p>
      <w:pPr>
        <w:pStyle w:val="ListParagraph"/>
        <w:numPr>
          <w:ilvl w:val="0"/>
          <w:numId w:val="2"/>
        </w:numPr>
        <w:spacing w:after="80"/>
      </w:pPr>
      <w:r>
        <w:rPr>
          <w:rFonts w:ascii="Palatino Linotype" w:cs="Palatino Linotype" w:eastAsia="Palatino Linotype" w:hAnsi="Palatino Linotype"/>
          <w:sz w:val="22"/>
          <w:szCs w:val="22"/>
        </w:rPr>
        <w:t xml:space="preserve">Filtered algebraic structures (filtered rings, modules, and algebras) impose a compatible increasing family of substructures indexed by a parameter; the absorption axiom (A5) is the order-theoretic analogue of the compatibility condition linking a filtration's layers.</w:t>
      </w:r>
    </w:p>
    <w:p>
      <w:pPr>
        <w:spacing w:after="160" w:line="276"/>
        <w:jc w:val="both"/>
      </w:pPr>
      <w:r>
        <w:rPr>
          <w:rFonts w:ascii="Palatino Linotype" w:cs="Palatino Linotype" w:eastAsia="Palatino Linotype" w:hAnsi="Palatino Linotype"/>
          <w:sz w:val="22"/>
          <w:szCs w:val="22"/>
        </w:rPr>
        <w:t xml:space="preserve">Framing these analogies precisely — for instance, constructing a functor from threshold-graded closure families to persistence modules, or identifying which formal concept lattices arise as Fix(c_∞) for some graded family — is left for future work and is not claimed here.</w:t>
      </w:r>
    </w:p>
    <w:p>
      <w:pPr>
        <w:pStyle w:val="Heading1"/>
        <w:pBdr>
          <w:bottom w:val="single" w:color="B8860B" w:sz="8" w:space="4"/>
        </w:pBdr>
        <w:spacing w:after="200" w:before="400"/>
      </w:pPr>
      <w:r>
        <w:rPr>
          <w:rFonts w:ascii="Arial" w:cs="Arial" w:eastAsia="Arial" w:hAnsi="Arial"/>
          <w:b/>
          <w:bCs/>
          <w:color w:val="1B2A4A"/>
          <w:sz w:val="30"/>
          <w:szCs w:val="30"/>
        </w:rPr>
        <w:t xml:space="preserve">9.  Open Problems</w:t>
      </w:r>
    </w:p>
    <w:p>
      <w:pPr>
        <w:pStyle w:val="ListParagraph"/>
        <w:numPr>
          <w:ilvl w:val="0"/>
          <w:numId w:val="2"/>
        </w:numPr>
        <w:spacing w:after="80"/>
      </w:pPr>
      <w:r>
        <w:rPr>
          <w:rFonts w:ascii="Palatino Linotype" w:cs="Palatino Linotype" w:eastAsia="Palatino Linotype" w:hAnsi="Palatino Linotype"/>
          <w:sz w:val="22"/>
          <w:szCs w:val="22"/>
        </w:rPr>
        <w:t xml:space="preserve">1. Extend the Finite Spectrum Theorem to posets of infinite but well-founded height, using an ordinal-valued height function in place of h(P), and identify the correct continuity axiom replacing finiteness.</w:t>
      </w:r>
    </w:p>
    <w:p>
      <w:pPr>
        <w:pStyle w:val="ListParagraph"/>
        <w:numPr>
          <w:ilvl w:val="0"/>
          <w:numId w:val="2"/>
        </w:numPr>
        <w:spacing w:after="80"/>
      </w:pPr>
      <w:r>
        <w:rPr>
          <w:rFonts w:ascii="Palatino Linotype" w:cs="Palatino Linotype" w:eastAsia="Palatino Linotype" w:hAnsi="Palatino Linotype"/>
          <w:sz w:val="22"/>
          <w:szCs w:val="22"/>
        </w:rPr>
        <w:t xml:space="preserve">2. Find structural (rather than case-by-case) criteria on two graded closure families that guarantee the commutativity hypothesis of Theorem 5.1, beyond the product/independent-coordinates construction of Section 7.</w:t>
      </w:r>
    </w:p>
    <w:p>
      <w:pPr>
        <w:pStyle w:val="ListParagraph"/>
        <w:numPr>
          <w:ilvl w:val="0"/>
          <w:numId w:val="2"/>
        </w:numPr>
        <w:spacing w:after="80"/>
      </w:pPr>
      <w:r>
        <w:rPr>
          <w:rFonts w:ascii="Palatino Linotype" w:cs="Palatino Linotype" w:eastAsia="Palatino Linotype" w:hAnsi="Palatino Linotype"/>
          <w:sz w:val="22"/>
          <w:szCs w:val="22"/>
        </w:rPr>
        <w:t xml:space="preserve">3. Recast T-graded closure families as functors from the threshold poset T (as a thin category) into the poset of closure operators on P ordered pointwise, and determine which of Theorems 4.2, 5.1, and 6.1 are consequences of general limit/colimit constructions in that category.</w:t>
      </w:r>
    </w:p>
    <w:p>
      <w:pPr>
        <w:pStyle w:val="ListParagraph"/>
        <w:numPr>
          <w:ilvl w:val="0"/>
          <w:numId w:val="2"/>
        </w:numPr>
        <w:spacing w:after="80"/>
      </w:pPr>
      <w:r>
        <w:rPr>
          <w:rFonts w:ascii="Palatino Linotype" w:cs="Palatino Linotype" w:eastAsia="Palatino Linotype" w:hAnsi="Palatino Linotype"/>
          <w:sz w:val="22"/>
          <w:szCs w:val="22"/>
        </w:rPr>
        <w:t xml:space="preserve">4. Develop a dual theory of threshold-graded interior operators and determine whether a Galois-connection-style duality relates threshold-graded closures and threshold-graded interiors, analogous to the classical closure/interior duality.</w:t>
      </w:r>
    </w:p>
    <w:p>
      <w:pPr>
        <w:pStyle w:val="ListParagraph"/>
        <w:numPr>
          <w:ilvl w:val="0"/>
          <w:numId w:val="2"/>
        </w:numPr>
        <w:spacing w:after="80"/>
      </w:pPr>
      <w:r>
        <w:rPr>
          <w:rFonts w:ascii="Palatino Linotype" w:cs="Palatino Linotype" w:eastAsia="Palatino Linotype" w:hAnsi="Palatino Linotype"/>
          <w:sz w:val="22"/>
          <w:szCs w:val="22"/>
        </w:rPr>
        <w:t xml:space="preserve">5. Study the statistics of |Spec(x)| for random finite posets or random weighted graphs under the connectivity-closure construction of Section 7, connecting the spectrum-size bound of Theorem 4.2 to known results in random graph theory.</w:t>
      </w:r>
    </w:p>
    <w:p>
      <w:pPr>
        <w:pStyle w:val="Heading1"/>
        <w:pBdr>
          <w:bottom w:val="single" w:color="B8860B" w:sz="8" w:space="4"/>
        </w:pBdr>
        <w:spacing w:after="200" w:before="400"/>
      </w:pPr>
      <w:r>
        <w:rPr>
          <w:rFonts w:ascii="Arial" w:cs="Arial" w:eastAsia="Arial" w:hAnsi="Arial"/>
          <w:b/>
          <w:bCs/>
          <w:color w:val="1B2A4A"/>
          <w:sz w:val="30"/>
          <w:szCs w:val="30"/>
        </w:rPr>
        <w:t xml:space="preserve">10.  Conclusion</w:t>
      </w:r>
    </w:p>
    <w:p>
      <w:pPr>
        <w:spacing w:after="160" w:line="276"/>
        <w:jc w:val="both"/>
      </w:pPr>
      <w:r>
        <w:rPr>
          <w:rFonts w:ascii="Palatino Linotype" w:cs="Palatino Linotype" w:eastAsia="Palatino Linotype" w:hAnsi="Palatino Linotype"/>
          <w:sz w:val="22"/>
          <w:szCs w:val="22"/>
        </w:rPr>
        <w:t xml:space="preserve">Threshold-Graded Closure Theory extends classical closure operator theory with a single additional coherence axiom — absorption across grades — and from that axiom alone recovers a finite, order-theoretically bounded spectral invariant (Theorem 4.2), a composition law for commuting families (Theorem 5.1), and a collapse theorem identifying the threshold limit as an ordinary closure operator (Theorem 6.1). The theory is deliberately developed without reference to any particular application: the weighted-graph connectivity example of Section 7 is offered as a concrete, fully verified instance, not as the theory's intended domain. The open problems of Section 9 point toward a more general, category-theoretic treatment and toward quantitative and dual extensions of the present framework.</w:t>
      </w:r>
    </w:p>
    <w:p>
      <w:pPr>
        <w:pStyle w:val="Heading1"/>
        <w:pBdr>
          <w:bottom w:val="single" w:color="B8860B" w:sz="8" w:space="4"/>
        </w:pBdr>
        <w:spacing w:after="200" w:before="400"/>
      </w:pPr>
      <w:r>
        <w:rPr>
          <w:rFonts w:ascii="Arial" w:cs="Arial" w:eastAsia="Arial" w:hAnsi="Arial"/>
          <w:b/>
          <w:bCs/>
          <w:color w:val="1B2A4A"/>
          <w:sz w:val="30"/>
          <w:szCs w:val="30"/>
        </w:rPr>
        <w:t xml:space="preserve">References</w:t>
      </w:r>
    </w:p>
    <w:p>
      <w:pPr>
        <w:spacing w:after="160" w:line="276"/>
        <w:jc w:val="left"/>
      </w:pPr>
      <w:r>
        <w:rPr>
          <w:rFonts w:ascii="Palatino Linotype" w:cs="Palatino Linotype" w:eastAsia="Palatino Linotype" w:hAnsi="Palatino Linotype"/>
          <w:sz w:val="22"/>
          <w:szCs w:val="22"/>
        </w:rPr>
        <w:t xml:space="preserve">Birkhoff, G. Lattice Theory, 3rd ed. American Mathematical Society Colloquium Publications, 1967.</w:t>
      </w:r>
    </w:p>
    <w:p>
      <w:pPr>
        <w:spacing w:after="160" w:line="276"/>
        <w:jc w:val="left"/>
      </w:pPr>
      <w:r>
        <w:rPr>
          <w:rFonts w:ascii="Palatino Linotype" w:cs="Palatino Linotype" w:eastAsia="Palatino Linotype" w:hAnsi="Palatino Linotype"/>
          <w:sz w:val="22"/>
          <w:szCs w:val="22"/>
        </w:rPr>
        <w:t xml:space="preserve">Ore, O. "Galois Connexions." Transactions of the American Mathematical Society 55 (1943): 493–513.</w:t>
      </w:r>
    </w:p>
    <w:p>
      <w:pPr>
        <w:spacing w:after="160" w:line="276"/>
        <w:jc w:val="left"/>
      </w:pPr>
      <w:r>
        <w:rPr>
          <w:rFonts w:ascii="Palatino Linotype" w:cs="Palatino Linotype" w:eastAsia="Palatino Linotype" w:hAnsi="Palatino Linotype"/>
          <w:sz w:val="22"/>
          <w:szCs w:val="22"/>
        </w:rPr>
        <w:t xml:space="preserve">Davey, B. A., and H. A. Priestley. Introduction to Lattices and Order, 2nd ed. Cambridge University Press, 2002.</w:t>
      </w:r>
    </w:p>
    <w:p>
      <w:pPr>
        <w:spacing w:after="160" w:line="276"/>
        <w:jc w:val="left"/>
      </w:pPr>
      <w:r>
        <w:rPr>
          <w:rFonts w:ascii="Palatino Linotype" w:cs="Palatino Linotype" w:eastAsia="Palatino Linotype" w:hAnsi="Palatino Linotype"/>
          <w:sz w:val="22"/>
          <w:szCs w:val="22"/>
        </w:rPr>
        <w:t xml:space="preserve">Ganter, B., and R. Wille. Formal Concept Analysis: Mathematical Foundations. Springer, 1999.</w:t>
      </w:r>
    </w:p>
    <w:p>
      <w:pPr>
        <w:spacing w:after="160" w:line="276"/>
        <w:jc w:val="left"/>
      </w:pPr>
      <w:r>
        <w:rPr>
          <w:rFonts w:ascii="Palatino Linotype" w:cs="Palatino Linotype" w:eastAsia="Palatino Linotype" w:hAnsi="Palatino Linotype"/>
          <w:sz w:val="22"/>
          <w:szCs w:val="22"/>
        </w:rPr>
        <w:t xml:space="preserve">Edelsbrunner, H., and J. Harer. Computational Topology: An Introduction. American Mathematical Society, 2010.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tabs>
        <w:tab w:val="right" w:pos="9026"/>
      </w:tabs>
    </w:pPr>
    <w:r>
      <w:rPr>
        <w:rFonts w:ascii="Arial" w:cs="Arial" w:eastAsia="Arial" w:hAnsi="Arial"/>
        <w:color w:val="777777"/>
        <w:sz w:val="16"/>
        <w:szCs w:val="16"/>
      </w:rPr>
      <w:t xml:space="preserve">M. Brownlee — Dust LLC</w:t>
    </w:r>
    <w:r>
      <w:rPr>
        <w:rFonts w:ascii="Arial" w:cs="Arial" w:eastAsia="Arial" w:hAnsi="Arial"/>
        <w:sz w:val="16"/>
        <w:szCs w:val="16"/>
      </w:rPr>
      <w:t xml:space="preserv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026"/>
      </w:tabs>
    </w:pPr>
    <w:r>
      <w:rPr>
        <w:rFonts w:ascii="Arial" w:cs="Arial" w:eastAsia="Arial" w:hAnsi="Arial"/>
        <w:b/>
        <w:bCs/>
        <w:color w:val="1B2A4A"/>
        <w:sz w:val="16"/>
        <w:szCs w:val="16"/>
      </w:rPr>
      <w:t xml:space="preserve">Threshold-Graded Closure Theory</w:t>
    </w:r>
    <w:r>
      <w:rPr>
        <w:rFonts w:ascii="Arial" w:cs="Arial" w:eastAsia="Arial" w:hAnsi="Arial"/>
        <w:color w:val="777777"/>
        <w:sz w:val="16"/>
        <w:szCs w:val="16"/>
      </w:rPr>
      <w:t xml:space="preserve">	Dust Research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2026-07-29T06:24:32.629Z</dcterms:created>
  <dcterms:modified xsi:type="dcterms:W3CDTF">2026-07-29T06:24:32.644Z</dcterms:modified>
</cp:coreProperties>
</file>

<file path=docProps/custom.xml><?xml version="1.0" encoding="utf-8"?>
<Properties xmlns="http://schemas.openxmlformats.org/officeDocument/2006/custom-properties" xmlns:vt="http://schemas.openxmlformats.org/officeDocument/2006/docPropsVTypes"/>
</file>