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PM-3</w:t>
      </w:r>
    </w:p>
    <w:p>
      <w:pPr>
        <w:spacing w:after="240"/>
        <w:jc w:val="center"/>
      </w:pPr>
      <w:r>
        <w:rPr>
          <w:rFonts w:ascii="Arial" w:cs="Arial" w:eastAsia="Arial" w:hAnsi="Arial"/>
          <w:b/>
          <w:bCs/>
          <w:color w:val="1B2A4A"/>
          <w:sz w:val="34"/>
          <w:szCs w:val="34"/>
        </w:rPr>
        <w:t xml:space="preserve">Charge-Density-Wave Phasons and Amplitudons as a Direct Terrestrial Realization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charge-density wave, phason, amplitudon, phase slip, mode locking,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Charge-density-wave (CDW) conductors are the one condensed-matter system whose standard theoretical vocabulary already contains a phason and an amplitudon as named, independently measured excitations — not as an analogy to be constructed, but as the native description of the material’s collective electronic order parameter. This makes CDW systems the most direct terrestrial candidate for a Phase Mechanics probe considered so far, and the least in need of an interpretive bridge. This note reviews the established Fröhlich–Peierls description of a CDW order parameter, states the correspondence to the Phase Mechanics phaset explicitly, and identifies where the phaset formalism’s topological-sector structure predicts something beyond the standard Lee–Rice–Anderson and Fukuyama–Lee–Rice pinning theory: specifically, in the statistics of phase-slip nucleation at current-carrying contacts, and in the fine structure of mode-locking steps when a sliding CDW is driven by combined DC and RF bias. Both observables are measured routinely with standard transport and coherent-diffraction techniques in existing quasi-one-dimensional conductors (NbSe₃, TaS₃, K₀.₃MoO₃), so the proposal here is a reanalysis protocol for an existing experimental platform rather than a request for new apparatus.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Phase Mechanics needs a terrestrial system with a genuine, independently-verifiable phase degree of freedom, perturbable and measurable at laboratory scale. Two companion notes address candidates built by analogy: laboratory double-layer plasmas (PM-2), where the phase-substrate correspondence must be constructed from a potential and density profile that standard theory does not itself describe in phase-and-amplitude language, and superconducting phase (addressed separately), where the analogy is close but the vocabulary is still “phase difference,” not “phason.”</w:t>
      </w:r>
    </w:p>
    <w:p>
      <w:pPr>
        <w:spacing w:after="200" w:line="276"/>
        <w:jc w:val="both"/>
      </w:pPr>
      <w:r>
        <w:rPr>
          <w:rFonts w:ascii="Palatino Linotype" w:cs="Palatino Linotype" w:eastAsia="Palatino Linotype" w:hAnsi="Palatino Linotype"/>
          <w:sz w:val="22"/>
          <w:szCs w:val="22"/>
        </w:rPr>
        <w:t xml:space="preserve">Charge-density-wave conductors are different in kind. Since the 1970s, the standard condensed-matter description of a CDW’s collective electronic order has used a complex order parameter with an amplitude and a phase, and has named the phase fluctuation the phason and the amplitude fluctuation the amplitudon — the same two terms Phase Theory uses for its own fundamental substrate excitations. This note takes the position that this terminological coincidence is worth treating seriously as a starting point for a formal correspondence, precisely because CDW phasons and amplitudons are not proposed here; they are established, decades-old, independently measured quasiparticles with their own literature. The task of this note is narrower than in PM-2: not to argue that a phase-and-amplitude description applies, but to specify what, if anything, the Phase Mechanics phaset formalism adds beyond the existing Fröhlich–Peierls–Lee–Rice–Anderson (FLRA) treatment, and how that addition could be measured.</w:t>
      </w:r>
    </w:p>
    <w:p>
      <w:pPr>
        <w:pStyle w:val="Heading1"/>
        <w:pBdr>
          <w:bottom w:val="single" w:color="B8922B" w:sz="6" w:space="4"/>
        </w:pBdr>
        <w:spacing w:after="200" w:before="400"/>
      </w:pPr>
      <w:r>
        <w:rPr>
          <w:rFonts w:ascii="Arial" w:cs="Arial" w:eastAsia="Arial" w:hAnsi="Arial"/>
          <w:b/>
          <w:bCs/>
          <w:color w:val="1B2A4A"/>
          <w:sz w:val="26"/>
          <w:szCs w:val="26"/>
        </w:rPr>
        <w:t xml:space="preserve">II. Charge-Density Waves: Established Phenomenology</w:t>
      </w:r>
    </w:p>
    <w:p>
      <w:pPr>
        <w:spacing w:after="200" w:line="276"/>
        <w:jc w:val="both"/>
      </w:pPr>
      <w:r>
        <w:rPr>
          <w:rFonts w:ascii="Palatino Linotype" w:cs="Palatino Linotype" w:eastAsia="Palatino Linotype" w:hAnsi="Palatino Linotype"/>
          <w:sz w:val="22"/>
          <w:szCs w:val="22"/>
        </w:rPr>
        <w:t xml:space="preserve">In a quasi-one-dimensional metal, the Peierls instability couples the conduction-electron density to a periodic lattice distortion at wavevector 2k_F, opening a gap at the Fermi surface and producing a modulated electron density n(x) = n₀ + n₁ cos(2k_Fx + φ). The complex order parameter Δ(x) = |Δ|e^{iφ(x)} — the Fröhlich order parameter — has an amplitude |Δ|, set by the size of the Peierls gap, and a phase φ, which fixes the registration of the charge modulation relative to the underlying lattice. In a translationally invariant, impurity-free crystal, uniform phase shifts cost no energy: the phason is the Goldstone mode of this broken translational symmetry, gapless in the ideal limit.</w:t>
      </w:r>
    </w:p>
    <w:p>
      <w:pPr>
        <w:spacing w:after="200" w:line="276"/>
        <w:jc w:val="both"/>
      </w:pPr>
      <w:r>
        <w:rPr>
          <w:rFonts w:ascii="Palatino Linotype" w:cs="Palatino Linotype" w:eastAsia="Palatino Linotype" w:hAnsi="Palatino Linotype"/>
          <w:sz w:val="22"/>
          <w:szCs w:val="22"/>
        </w:rPr>
        <w:t xml:space="preserve">Real crystals are not impurity-free. Pinning by lattice defects gaps the phason at a finite pinning frequency (the Fröhlich mode, typically in the microwave-to-THz range), described quantitatively by the Lee–Rice–Anderson model and its field-theoretic extension, the Fukuyama–Lee–Rice model. Below a threshold electric field E_T the CDW remains pinned and current is carried by uncondensed normal electrons; above E_T the CDW depins and slides, carrying current collectively through phase motion — the phason acquiring a nonzero drift velocity. This nonlinear, threshold conduction, together with the accompanying narrow-band noise at a frequency set by the CDW current itself, is one of the most thoroughly documented phenomena in low-dimensional conductor physics, established in materials including NbSe₃, TaS₃, (TaSe₄)₂I, and the blue bronze K₀.₃MoO₃.</w:t>
      </w:r>
    </w:p>
    <w:p>
      <w:pPr>
        <w:spacing w:after="200" w:line="276"/>
        <w:jc w:val="both"/>
      </w:pPr>
      <w:r>
        <w:rPr>
          <w:rFonts w:ascii="Palatino Linotype" w:cs="Palatino Linotype" w:eastAsia="Palatino Linotype" w:hAnsi="Palatino Linotype"/>
          <w:sz w:val="22"/>
          <w:szCs w:val="22"/>
        </w:rPr>
        <w:t xml:space="preserve">The amplitudon, by contrast, is gapped even in the ideal limit — it costs energy of order the Peierls gap itself to locally suppress |Δ| — and is observed directly via Raman scattering and optical conductivity as a mode near twice the single-particle gap. Both quasiparticles are routinely distinguished in the same sample by the same laboratory: phasons through low-frequency dielectric response and sliding transport, amplitudons through Raman and infrared spectroscopy.</w:t>
      </w:r>
    </w:p>
    <w:p>
      <w:pPr>
        <w:pStyle w:val="Heading1"/>
        <w:pBdr>
          <w:bottom w:val="single" w:color="B8922B" w:sz="6" w:space="4"/>
        </w:pBdr>
        <w:spacing w:after="200" w:before="400"/>
      </w:pPr>
      <w:r>
        <w:rPr>
          <w:rFonts w:ascii="Arial" w:cs="Arial" w:eastAsia="Arial" w:hAnsi="Arial"/>
          <w:b/>
          <w:bCs/>
          <w:color w:val="1B2A4A"/>
          <w:sz w:val="26"/>
          <w:szCs w:val="26"/>
        </w:rPr>
        <w:t xml:space="preserve">III. Phase Slips: The CDW’s Native Topological Excitation</w:t>
      </w:r>
    </w:p>
    <w:p>
      <w:pPr>
        <w:spacing w:after="200" w:line="276"/>
        <w:jc w:val="both"/>
      </w:pPr>
      <w:r>
        <w:rPr>
          <w:rFonts w:ascii="Palatino Linotype" w:cs="Palatino Linotype" w:eastAsia="Palatino Linotype" w:hAnsi="Palatino Linotype"/>
          <w:sz w:val="22"/>
          <w:szCs w:val="22"/>
        </w:rPr>
        <w:t xml:space="preserve">Because φ(x) is a phase defined on a periodic order parameter, it supports a topological defect: a phase slip, a localized 2π discontinuity in φ across which one period of the charge-density modulation is created or destroyed. Phase slips are not a theoretical construct introduced for this note; they are directly imaged by dark-field electron microscopy and by coherent x-ray diffraction at the sites where current crosses from normal (electron) conduction in the metallic contacts into collective CDW conduction in the bulk, and they are the accepted mechanism by which current is converted between the two channels. Phase-slip nucleation is treated in the existing literature as a thermally activated process over a thin-film weak-link, directly analogous to (and historically modeled on) phase-slip centers in superconducting wires.</w:t>
      </w:r>
    </w:p>
    <w:p>
      <w:pPr>
        <w:spacing w:after="200" w:line="276"/>
        <w:jc w:val="both"/>
      </w:pPr>
      <w:r>
        <w:rPr>
          <w:rFonts w:ascii="Palatino Linotype" w:cs="Palatino Linotype" w:eastAsia="Palatino Linotype" w:hAnsi="Palatino Linotype"/>
          <w:sz w:val="22"/>
          <w:szCs w:val="22"/>
        </w:rPr>
        <w:t xml:space="preserve">This is the feature that makes CDW systems a stronger candidate than the double-layer system of PM-2: the topological object the Phase Mechanics phaset formalism requires — a discrete, countable transition between topological sectors — already has a named, imaged, independently studied counterpart in the CDW phase field, rather than needing to be constructed from a continuous fluid variable.</w:t>
      </w:r>
    </w:p>
    <w:p>
      <w:pPr>
        <w:pStyle w:val="Heading1"/>
        <w:pBdr>
          <w:bottom w:val="single" w:color="B8922B" w:sz="6" w:space="4"/>
        </w:pBdr>
        <w:spacing w:after="200" w:before="400"/>
      </w:pPr>
      <w:r>
        <w:rPr>
          <w:rFonts w:ascii="Arial" w:cs="Arial" w:eastAsia="Arial" w:hAnsi="Arial"/>
          <w:b/>
          <w:bCs/>
          <w:color w:val="1B2A4A"/>
          <w:sz w:val="26"/>
          <w:szCs w:val="26"/>
        </w:rPr>
        <w:t xml:space="preserve">IV.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Fröhlich order parameter Δ(x,t) = |Δ(x,t)|e^{iφ(x,t)} directly with a phaset’s coordinates on the Phase Configuration Manifold: |Δ| with the coherence-amplitude coordinate, and the winding number of φ — the accumulated count of phase slips — with the topological-sector coordinate. A pinned, static CDW domain is the analogue of a phaset held in a fixed topological sector with stable coherence amplitude. A sliding CDW under depinning drive, converting current at its contacts via phase-slip nucleation, is the analogue of a phaset undergoing driven, countable topological-sector transitions.</w:t>
      </w:r>
    </w:p>
    <w:p>
      <w:pPr>
        <w:spacing w:after="200" w:line="276"/>
        <w:jc w:val="both"/>
      </w:pPr>
      <w:r>
        <w:rPr>
          <w:rFonts w:ascii="Palatino Linotype" w:cs="Palatino Linotype" w:eastAsia="Palatino Linotype" w:hAnsi="Palatino Linotype"/>
          <w:sz w:val="22"/>
          <w:szCs w:val="22"/>
        </w:rPr>
        <w:t xml:space="preserve">This correspondence is stronger than PM-2’s in one specific respect and weaker in another. It is stronger because the amplitude/phase decomposition and the topological defect are both native to the existing FLRA theory rather than proposed by analogy. It is weaker because the existing FLRA theory already accounts for phase-slip nucleation rates and mode-locking behavior quantitatively, in detail, using only established solid-state physics — so the bar for the Phase Mechanics formalism to add anything beyond relabeling is correspondingly higher, and is addressed directly in Section VI.</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spacing w:after="200" w:line="276"/>
        <w:jc w:val="both"/>
      </w:pPr>
      <w:r>
        <w:rPr>
          <w:rFonts w:ascii="Palatino Linotype" w:cs="Palatino Linotype" w:eastAsia="Palatino Linotype" w:hAnsi="Palatino Linotype"/>
          <w:sz w:val="22"/>
          <w:szCs w:val="22"/>
        </w:rPr>
        <w:t xml:space="preserve">Two predictions are specified against the existing FLRA baseline.</w:t>
      </w:r>
    </w:p>
    <w:p>
      <w:pPr>
        <w:pStyle w:val="Heading2"/>
        <w:spacing w:after="140" w:before="260"/>
      </w:pPr>
      <w:r>
        <w:rPr>
          <w:rFonts w:ascii="Arial" w:cs="Arial" w:eastAsia="Arial" w:hAnsi="Arial"/>
          <w:b/>
          <w:bCs/>
          <w:color w:val="1B2A4A"/>
          <w:sz w:val="22"/>
          <w:szCs w:val="22"/>
        </w:rPr>
        <w:t xml:space="preserve">Prediction 1 — Sub-Poissonian phase-slip nucleation statistics</w:t>
      </w:r>
    </w:p>
    <w:p>
      <w:pPr>
        <w:spacing w:after="200" w:line="276"/>
        <w:jc w:val="both"/>
      </w:pPr>
      <w:r>
        <w:rPr>
          <w:rFonts w:ascii="Palatino Linotype" w:cs="Palatino Linotype" w:eastAsia="Palatino Linotype" w:hAnsi="Palatino Linotype"/>
          <w:sz w:val="22"/>
          <w:szCs w:val="22"/>
        </w:rPr>
        <w:t xml:space="preserve">Standard thermally-activated phase-slip theory predicts nucleation events at the current-contact weak link that are, to good approximation, Poissonian in time at fixed temperature and bias — the nucleation rate depends only on the local barrier height and temperature, with no mechanism coupling successive nucleation events to one another. The Phase Mechanics topological-sector formalism predicts a specific departure: if the phaset’s topological-sector coordinate carries a conserved or slowly-relaxing quantity across nucleation events (as it does for phasets in the core PM formalism), successive phase-slip waiting times should show a measurable sub-Poissonian character — a suppressed variance-to-mean ratio (Fano factor below unity) in the nucleation-event time series — that standard FLRA theory does not predict.</w:t>
      </w:r>
    </w:p>
    <w:p>
      <w:pPr>
        <w:pStyle w:val="Heading2"/>
        <w:spacing w:after="140" w:before="260"/>
      </w:pPr>
      <w:r>
        <w:rPr>
          <w:rFonts w:ascii="Arial" w:cs="Arial" w:eastAsia="Arial" w:hAnsi="Arial"/>
          <w:b/>
          <w:bCs/>
          <w:color w:val="1B2A4A"/>
          <w:sz w:val="22"/>
          <w:szCs w:val="22"/>
        </w:rPr>
        <w:t xml:space="preserve">Prediction 2 — Anomalous mode-locking step structure</w:t>
      </w:r>
    </w:p>
    <w:p>
      <w:pPr>
        <w:spacing w:after="200" w:line="276"/>
        <w:jc w:val="both"/>
      </w:pPr>
      <w:r>
        <w:rPr>
          <w:rFonts w:ascii="Palatino Linotype" w:cs="Palatino Linotype" w:eastAsia="Palatino Linotype" w:hAnsi="Palatino Linotype"/>
          <w:sz w:val="22"/>
          <w:szCs w:val="22"/>
        </w:rPr>
        <w:t xml:space="preserve">When a sliding CDW is driven by combined DC and RF bias, its I–V characteristic shows mode-locking (Shapiro-step-like) plateaus where the phason’s washboard oscillation frequency locks to harmonics and subharmonics of the applied RF, a phenomenon already established experimentally and reproduced by the classical (sine-Gordon-type) washboard-potential treatment of the FLRA model. The Phase Mechanics correspondence predicts that a subset of subharmonic step widths — specifically those associated with topological-sector transitions that are forbidden or suppressed under the phaset formalism’s sector-selection rules — should be measurably narrower, or absent, relative to the classical washboard prediction, at temperatures low enough to suppress thermal rounding. Standard theory predicts step widths set purely by the washboard potential’s harmonic content, with no sector-selection suppression.</w:t>
      </w:r>
    </w:p>
    <w:p>
      <w:pPr>
        <w:spacing w:after="200" w:line="276"/>
        <w:jc w:val="both"/>
      </w:pPr>
      <w:r>
        <w:rPr>
          <w:rFonts w:ascii="Palatino Linotype" w:cs="Palatino Linotype" w:eastAsia="Palatino Linotype" w:hAnsi="Palatino Linotype"/>
          <w:sz w:val="22"/>
          <w:szCs w:val="22"/>
        </w:rPr>
        <w:t xml:space="preserve">A null result on both — Poissonian nucleation statistics and classical step widths at all orders — would indicate that, notwithstanding the shared vocabulary, the CDW phason and amplitudon are not carrying the additional topological-sector structure the phaset formalism proposes, and would be a materially stronger falsification than a null result in PM-2, precisely because the CDW baseline theory is more quantitatively developed.</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Material: a well-characterized quasi-1D CDW conductor with an established depinning threshold and mode-locking literature — NbSe₃ (Peierls transitions at 145 K and 59 K) is the most extensively documented choice; K₀.₃MoO₃ (blue bronze, transition near 183 K) is a viable alternative with a higher transition temperature.</w:t>
      </w:r>
    </w:p>
    <w:p>
      <w:pPr>
        <w:pStyle w:val="ListParagraph"/>
        <w:numPr>
          <w:ilvl w:val="0"/>
          <w:numId w:val="2"/>
        </w:numPr>
        <w:spacing w:after="120"/>
      </w:pPr>
      <w:r>
        <w:rPr>
          <w:rFonts w:ascii="Palatino Linotype" w:cs="Palatino Linotype" w:eastAsia="Palatino Linotype" w:hAnsi="Palatino Linotype"/>
          <w:sz w:val="22"/>
          <w:szCs w:val="22"/>
        </w:rPr>
        <w:t xml:space="preserve">Phase-slip statistics: four-probe transport across a lithographically defined narrow constriction or natural whisker contact, with time-resolved current-noise measurement at fixed DC bias above threshold, binned into a nucleation-event time series via the narrow-band-noise phase relation; Fano-factor analysis of the resulting waiting-time distribution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Mode-locking: combined DC + RF (microwave-band) drive, with the RF frequency swept relative to the narrow-band-noise fundamental, mapping the I–V mode-locking step structure at a series of temperatures from the pinned-onset regime down to base cryostat temperature to isolate thermal rounding from any sector-selection suppression.</w:t>
      </w:r>
    </w:p>
    <w:p>
      <w:pPr>
        <w:pStyle w:val="ListParagraph"/>
        <w:numPr>
          <w:ilvl w:val="0"/>
          <w:numId w:val="2"/>
        </w:numPr>
        <w:spacing w:after="120"/>
      </w:pPr>
      <w:r>
        <w:rPr>
          <w:rFonts w:ascii="Palatino Linotype" w:cs="Palatino Linotype" w:eastAsia="Palatino Linotype" w:hAnsi="Palatino Linotype"/>
          <w:sz w:val="22"/>
          <w:szCs w:val="22"/>
        </w:rPr>
        <w:t xml:space="preserve">Structural cross-check: coherent x-ray diffraction imaging of the satellite CDW reflection across the contact region, correlated in time with the transport measurement, to confirm that counted phase-slip events in the noise time series correspond one-to-one with imaged 2π phase discontinuities.</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the full protocol on a sample or bias regime below the depinning threshold, where no phase slips occur, to confirm that any measured sub-Poissonian statistics or step suppression is tied to active phase-slip nucleation rather than instrumentation artifact.</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Of the four candidates considered across this note and its companions, CDW phase order comes closest to an existing partial match against PDC-1–PDC-6: coherence amplitude is directly set and read out via the Peierls gap (optical/Raman), and the topological-sector coordinate has an established, independently imaged observable in the phase-slip count. The criteria this note does not resolve are those bearing on coherent coupling between two distinct, spatially separated phasets — CDW literature to date characterizes single-domain or single-contact phase-slip dynamics, not controlled entanglement or coupling between two independently addressed CDW domains — and this remains open for a future note if Predictions 1 and 2 are not falsified.</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 makes no claim beyond the CDW system itself: nothing here bears on plasma, astrophysical, or stellar systems, and the correspondence is falsified on its own terms if either prediction in Section VI fails under the protocol of Section VII — specifically, a measured Fano factor consistent with unity (Poissonian nucleation) across the tested bias and temperature range, or mode-locking step widths that match the classical washboard prediction at all measured orders and temperatures. Because the FLRA baseline this note is tested against is unusually well-established, a null result here is correspondingly more informative than a null result for the double-layer or plasma candidates, and should be weighted accordingly in deciding whether the phaset formalism’s topological-sector structure is adding physical content beyond its existing condensed-matter analogues.</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Charge-density-wave conductors already describe their collective electronic order in the same phase-and-amplitude, phason-and-amplitudon language Phase Mechanics uses for the phaset, and already possess an imaged, countable topological excitation — the phase slip — in the phase field. This note has used that existing correspondence to specify two falsifiable predictions, sub-Poissonian phase-slip nucleation statistics and anomalous mode-locking step suppression, that diverge from the standard Fukuyama–Lee–Rice–Anderson treatment, and has laid out a protocol using established transport and coherent-diffraction techniques on existing, well-characterized materials. Because the baseline theory here is unusually mature, this candidate offers the sharpest test among those considered so far of whether the Phase Mechanics phaset formalism carries content beyond its condensed-matter namesakes.</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Fröhlich, H. “On the theory of superconductivity: the one-dimensional case.” Proceedings of the Royal Society A 223, 296 (1954).</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Lee, P. A., Rice, T. M., and Anderson, P. W. “Conductivity from charge or spin density waves.” Solid State Communications 14, 703 (1974).</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Fukuyama, H. and Lee, P. A. “Dynamics of the charge-density wave. I. Impurity pinning in a single chain.” Physical Review B 17, 535 (1978).</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Grüner, G. “The dynamics of charge-density waves.” Reviews of Modern Physics 60, 1129–1181 (1988).</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Zettl, A. and Grüner, G. “Coherent and incoherent charge-density-wave transport.” Physical Review B 29, 755 (1984).</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Requardt, H. et al. “Direct observation of the Peierls transition and phase slippage in NbSe₃ by coherent x-ray diffraction.” Physical Review Letters 80, 5631 (1998).</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Thorne, R. E. “Charge-density-wave conductors.” Physics Today 49, 42 (1996).</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 PM-2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PM-3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2026-07-26T06:51:47.469Z</dcterms:created>
  <dcterms:modified xsi:type="dcterms:W3CDTF">2026-07-26T06:51:47.469Z</dcterms:modified>
</cp:coreProperties>
</file>

<file path=docProps/custom.xml><?xml version="1.0" encoding="utf-8"?>
<Properties xmlns="http://schemas.openxmlformats.org/officeDocument/2006/custom-properties" xmlns:vt="http://schemas.openxmlformats.org/officeDocument/2006/docPropsVTypes"/>
</file>