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PM-8</w:t>
      </w:r>
    </w:p>
    <w:p>
      <w:pPr>
        <w:spacing w:after="240"/>
        <w:jc w:val="center"/>
      </w:pPr>
      <w:r>
        <w:rPr>
          <w:rFonts w:ascii="Arial" w:cs="Arial" w:eastAsia="Arial" w:hAnsi="Arial"/>
          <w:b/>
          <w:bCs/>
          <w:color w:val="1B2A4A"/>
          <w:sz w:val="30"/>
          <w:szCs w:val="30"/>
        </w:rPr>
        <w:t xml:space="preserve">Exciton-Polariton Condensates: A Dynamical Stress Test of the Phaset Formalism Under Driven-Dissipative Conditions</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exciton polariton, driven-dissipative condensate, half-quantum vortex, polariton superfluidity, polariton Josephson junction,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PM-7 tested the Phase Mechanics phaset formalism along a structural axis, asking whether it generalizes past a U(1)-valued order parameter to an S²-valued one. This note tests it along an orthogonal, dynamical axis. Exciton-polariton condensates share the same U(1) macroscopic-wavefunction structure as the cold-atom BECs of PM-6, but they are not closed, energy-conserving quantum systems: a polariton has a finite lifetime of order picoseconds, set by photon leakage through the microcavity mirrors, and a polariton condensate exists only as a non-equilibrium steady state, continuously replenished by external optical pumping and continuously decaying. Its governing equation is a driven-dissipative (complex, non-Hermitian) Gross–Pitaevskii equation, not the closed GPE of PM-6. This note reviews the established phenomenology of polariton condensation, superfluidity, and the half-quantum vortex — a topological object unique to the polariton’s spinor structure — states the correspondence to the phaset formalism, and identifies two falsifiable predictions that test whether the phaset formalism’s coherence-amplitude and topological-sector coordinates remain meaningful once the system’s norm is no longer conserved. Both predictions are testable with standard polariton photoluminescence interferometry on existing microcavity platforms, including several that operate at room temperature.</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PM-6 argued that cold-atom BECs offer the series’ most experimentally controllable realization of a closed-system U(1) phaset. Exciton-polariton condensates share the macroscopic wavefunction description — Ψ(r,t) = √n(r,t)·e^{iθ(r,t)}, obeying a Gross–Pitaevskii-type equation — but differ in a way that matters directly for the phaset formalism’s assumptions. A polariton is a hybrid light–matter quasiparticle formed by strong coupling between a semiconductor quantum-well exciton and a microcavity photon; because the photon component leaks out through the cavity mirrors on a picosecond timescale, a polariton condensate cannot be prepared and then left to evolve in isolation the way a cold-atom BEC can. It exists only as a steady state maintained by continuous external pumping, balanced against continuous loss, and its governing equation carries explicit gain and loss terms absent from the closed GPE addressed in PM-6.</w:t>
      </w:r>
    </w:p>
    <w:p>
      <w:pPr>
        <w:spacing w:after="200" w:line="276"/>
        <w:jc w:val="both"/>
      </w:pPr>
      <w:r>
        <w:rPr>
          <w:rFonts w:ascii="Palatino Linotype" w:cs="Palatino Linotype" w:eastAsia="Palatino Linotype" w:hAnsi="Palatino Linotype"/>
          <w:sz w:val="22"/>
          <w:szCs w:val="22"/>
        </w:rPr>
        <w:t xml:space="preserve">This makes exciton-polariton condensates a natural companion stress test to PM-7, along a different axis. Where PM-7 asked whether the phaset formalism’s topological vocabulary survives a change in homotopy classification, this note asks whether its amplitude-and-phase vocabulary survives a change from closed, norm-conserving dynamics to open, driven-dissipative dynamics — a distinction that matters because several of the phaset formalism’s core constructs, including the coherence-amplitude coordinate itself, are most naturally defined for a system with a conserved norm.</w:t>
      </w:r>
    </w:p>
    <w:p>
      <w:pPr>
        <w:pStyle w:val="Heading1"/>
        <w:pBdr>
          <w:bottom w:val="single" w:color="B8922B" w:sz="6" w:space="4"/>
        </w:pBdr>
        <w:spacing w:after="200" w:before="400"/>
      </w:pPr>
      <w:r>
        <w:rPr>
          <w:rFonts w:ascii="Arial" w:cs="Arial" w:eastAsia="Arial" w:hAnsi="Arial"/>
          <w:b/>
          <w:bCs/>
          <w:color w:val="1B2A4A"/>
          <w:sz w:val="26"/>
          <w:szCs w:val="26"/>
        </w:rPr>
        <w:t xml:space="preserve">II. Exciton-Polariton Condensation: Established Phenomenology</w:t>
      </w:r>
    </w:p>
    <w:p>
      <w:pPr>
        <w:spacing w:after="200" w:line="276"/>
        <w:jc w:val="both"/>
      </w:pPr>
      <w:r>
        <w:rPr>
          <w:rFonts w:ascii="Palatino Linotype" w:cs="Palatino Linotype" w:eastAsia="Palatino Linotype" w:hAnsi="Palatino Linotype"/>
          <w:sz w:val="22"/>
          <w:szCs w:val="22"/>
        </w:rPr>
        <w:t xml:space="preserve">In a semiconductor microcavity operating in the strong-coupling regime, the coherent exchange of energy between a quantum-well exciton and a confined cavity photon produces two hybridized eigenstates — upper and lower polaritons — split by the vacuum Rabi frequency. Under continuous, typically non-resonant optical pumping, a large population of lower polaritons can build up in the lowest-energy state of the trap or in-plane potential, showing the hallmarks of Bose–Einstein condensation: a macroscopically occupied ground state, long-range spatial coherence, and a narrowed momentum distribution. This was first demonstrated unambiguously by Kasprzak et al. in a CdTe microcavity in 2006, using Michelson interferometry to directly measure the buildup of spatial coherence across the condensate as pump power crossed threshold.</w:t>
      </w:r>
    </w:p>
    <w:p>
      <w:pPr>
        <w:spacing w:after="200" w:line="276"/>
        <w:jc w:val="both"/>
      </w:pPr>
      <w:r>
        <w:rPr>
          <w:rFonts w:ascii="Palatino Linotype" w:cs="Palatino Linotype" w:eastAsia="Palatino Linotype" w:hAnsi="Palatino Linotype"/>
          <w:sz w:val="22"/>
          <w:szCs w:val="22"/>
        </w:rPr>
        <w:t xml:space="preserve">Because polariton lifetime is short, a polariton condensate is fundamentally a non-equilibrium, driven-dissipative system, standardly described by a generalized Gross–Pitaevskii equation with an explicit gain term (from the incoherent exciton reservoir populated by the pump) and an explicit loss term (from cavity photon escape), rather than the closed, norm-conserving GPE used for cold-atom BECs. Despite this, polariton condensates show genuine superfluid behavior: Amo et al. demonstrated in 2009 that a polariton fluid flowing past a structural defect shows frictionless flow above a critical velocity, directly analogous to the Landau criterion for equilibrium superfluidity, notwithstanding the condensate’s open, dissipative character.</w:t>
      </w:r>
    </w:p>
    <w:p>
      <w:pPr>
        <w:pStyle w:val="Heading1"/>
        <w:pBdr>
          <w:bottom w:val="single" w:color="B8922B" w:sz="6" w:space="4"/>
        </w:pBdr>
        <w:spacing w:after="200" w:before="400"/>
      </w:pPr>
      <w:r>
        <w:rPr>
          <w:rFonts w:ascii="Arial" w:cs="Arial" w:eastAsia="Arial" w:hAnsi="Arial"/>
          <w:b/>
          <w:bCs/>
          <w:color w:val="1B2A4A"/>
          <w:sz w:val="26"/>
          <w:szCs w:val="26"/>
        </w:rPr>
        <w:t xml:space="preserve">III. Quantized Vortices and the Half-Quantum Vortex</w:t>
      </w:r>
    </w:p>
    <w:p>
      <w:pPr>
        <w:spacing w:after="200" w:line="276"/>
        <w:jc w:val="both"/>
      </w:pPr>
      <w:r>
        <w:rPr>
          <w:rFonts w:ascii="Palatino Linotype" w:cs="Palatino Linotype" w:eastAsia="Palatino Linotype" w:hAnsi="Palatino Linotype"/>
          <w:sz w:val="22"/>
          <w:szCs w:val="22"/>
        </w:rPr>
        <w:t xml:space="preserve">Polariton condensates support quantized vortices, first directly imaged via interferometric phase mapping by Lagoudakis et al. in 2008, and quantized vortex–antivortex pairs generated by superfluid flow past engineered obstacles, observed by Sanvitto et al. and Nardin et al. around 2010–2011. What is unique to this candidate is the half-quantum vortex: because a polariton carries a pseudospin degree of freedom tied to photon polarization, the condensate order parameter is in general a two-component spinor rather than a scalar, and this spinor structure supports a topological defect in which one spin component winds by a full 2π while the other does not wind at all — an overall half-integer effective phase winding, predicted theoretically by Rubo in 2007 and observed directly by Lagoudakis et al. in 2009 via polarization-resolved interferometric imaging. No scalar-order-parameter candidate in this series (PM-2 through PM-6) supports an analogous object; it is a direct consequence of the polariton’s spinor structure.</w:t>
      </w:r>
    </w:p>
    <w:p>
      <w:pPr>
        <w:pStyle w:val="Heading1"/>
        <w:pBdr>
          <w:bottom w:val="single" w:color="B8922B" w:sz="6" w:space="4"/>
        </w:pBdr>
        <w:spacing w:after="200" w:before="400"/>
      </w:pPr>
      <w:r>
        <w:rPr>
          <w:rFonts w:ascii="Arial" w:cs="Arial" w:eastAsia="Arial" w:hAnsi="Arial"/>
          <w:b/>
          <w:bCs/>
          <w:color w:val="1B2A4A"/>
          <w:sz w:val="26"/>
          <w:szCs w:val="26"/>
        </w:rPr>
        <w:t xml:space="preserve">IV. Polariton Josephson Junctions and Phase-Locked Condensate Lattices</w:t>
      </w:r>
    </w:p>
    <w:p>
      <w:pPr>
        <w:spacing w:after="200" w:line="276"/>
        <w:jc w:val="both"/>
      </w:pPr>
      <w:r>
        <w:rPr>
          <w:rFonts w:ascii="Palatino Linotype" w:cs="Palatino Linotype" w:eastAsia="Palatino Linotype" w:hAnsi="Palatino Linotype"/>
          <w:sz w:val="22"/>
          <w:szCs w:val="22"/>
        </w:rPr>
        <w:t xml:space="preserve">Two spatially separated polariton condensates, coupled either by direct wavefunction overlap or by a tunneling barrier engineered into the confining potential, show Josephson-like oscillations and macroscopic quantum self-trapping in their relative population and phase, directly observed by Abbarchi et al. in 2013 — the polariton analogue of the bosonic Josephson junction addressed for cold-atom BECs in PM-6, but realized in a driven-dissipative rather than closed system. At larger scale, arrays of many coupled polariton condensates have been used to directly realize classical XY-model spin physics, with the relative phase between neighboring condensates playing the role of a classical spin angle and the pump-dependent coupling playing the role of the exchange interaction — demonstrated as a physical optimization platform (a polariton simulator/Ising machine) by Berloff et al. in 2017. This gives polariton lattices a distinctive capability among the candidates considered in this series: many phase-bearing condensates, coupled and phase-locked in parallel, individually addressable and simultaneously optically read out.</w:t>
      </w:r>
    </w:p>
    <w:p>
      <w:pPr>
        <w:pStyle w:val="Heading1"/>
        <w:pBdr>
          <w:bottom w:val="single" w:color="B8922B" w:sz="6" w:space="4"/>
        </w:pBdr>
        <w:spacing w:after="200" w:before="400"/>
      </w:pPr>
      <w:r>
        <w:rPr>
          <w:rFonts w:ascii="Arial" w:cs="Arial" w:eastAsia="Arial" w:hAnsi="Arial"/>
          <w:b/>
          <w:bCs/>
          <w:color w:val="1B2A4A"/>
          <w:sz w:val="26"/>
          <w:szCs w:val="26"/>
        </w:rPr>
        <w:t xml:space="preserve">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Ψ(r,t) = √n·e^{iθ} with the phaset’s coordinates as in PM-6: n with coherence amplitude and the winding number of θ (or, for the spinor case, the half-integer winding of a single spin component) with the topological-sector coordinate. The structural difference from PM-6 is that n is no longer a conserved quantity set once at preparation; it is a dynamical steady-state variable, continuously re-established by the balance between pump and loss. Under this correspondence, the phaset’s coherence-amplitude coordinate in a polariton realization is not a fixed initial condition but an actively regulated set point — closer, in this specific respect, to a control-theoretic steady state than to the conserved norm of a closed quantum system. Whether the phaset formalism’s amplitude coordinate, as originally specified, is compatible with being continuously regulated rather than conserved is exactly the question this candidate is positioned to test.</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pStyle w:val="Heading2"/>
        <w:spacing w:after="140" w:before="260"/>
      </w:pPr>
      <w:r>
        <w:rPr>
          <w:rFonts w:ascii="Arial" w:cs="Arial" w:eastAsia="Arial" w:hAnsi="Arial"/>
          <w:b/>
          <w:bCs/>
          <w:color w:val="1B2A4A"/>
          <w:sz w:val="22"/>
          <w:szCs w:val="22"/>
        </w:rPr>
        <w:t xml:space="preserve">Prediction 1 — Sub-Poissonian half-quantum vortex pair statistics</w:t>
      </w:r>
    </w:p>
    <w:p>
      <w:pPr>
        <w:spacing w:after="200" w:line="276"/>
        <w:jc w:val="both"/>
      </w:pPr>
      <w:r>
        <w:rPr>
          <w:rFonts w:ascii="Palatino Linotype" w:cs="Palatino Linotype" w:eastAsia="Palatino Linotype" w:hAnsi="Palatino Linotype"/>
          <w:sz w:val="22"/>
          <w:szCs w:val="22"/>
        </w:rPr>
        <w:t xml:space="preserve">Standard driven-dissipative spinor Gross–Pitaevskii theory predicts that half-quantum vortex–antivortex pairs nucleate stochastically, seeded by the interplay of quantum and gain/loss-driven classical noise inherent to the pumped, decaying condensate, with successive nucleation events at fixed pump and disorder conditions statistically close to independent (Poissonian). The phaset correspondence predicts a measurable sub-Poissonian departure — a Fano factor below unity in the half-vortex-pair nucleation waiting-time distribution, extracted from repeated identical pump conditions — if the topological-sector coordinate carries a slowly relaxing correlation across successive nucleation events, exactly as proposed for the analogous scalar-vortex prediction in PM-6.</w:t>
      </w:r>
    </w:p>
    <w:p>
      <w:pPr>
        <w:pStyle w:val="Heading2"/>
        <w:spacing w:after="140" w:before="260"/>
      </w:pPr>
      <w:r>
        <w:rPr>
          <w:rFonts w:ascii="Arial" w:cs="Arial" w:eastAsia="Arial" w:hAnsi="Arial"/>
          <w:b/>
          <w:bCs/>
          <w:color w:val="1B2A4A"/>
          <w:sz w:val="22"/>
          <w:szCs w:val="22"/>
        </w:rPr>
        <w:t xml:space="preserve">Prediction 2 — Discrete structure in the polariton Josephson phase-locking threshold</w:t>
      </w:r>
    </w:p>
    <w:p>
      <w:pPr>
        <w:spacing w:after="200" w:line="276"/>
        <w:jc w:val="both"/>
      </w:pPr>
      <w:r>
        <w:rPr>
          <w:rFonts w:ascii="Palatino Linotype" w:cs="Palatino Linotype" w:eastAsia="Palatino Linotype" w:hAnsi="Palatino Linotype"/>
          <w:sz w:val="22"/>
          <w:szCs w:val="22"/>
        </w:rPr>
        <w:t xml:space="preserve">Standard driven-dissipative coupled-oscillator theory (in the tradition of the Aleiner–Altshuler–Rubo treatment of radiatively coupled polariton condensates) predicts that two weakly coupled polariton condensates phase-lock above a smooth, continuously varying threshold set by the ratio of coupling strength to the individual condensates’ gain-loss imbalance, with no structure beyond this threshold curve. The phaset correspondence predicts that, if the topological-sector coordinate carries independent physical content, the phase-locking threshold measured as a function of the relative pump power on the two condensates should show discrete steps or kinks at specific pump-power ratios corresponding to sector-boundary crossings, rather than varying smoothly.</w:t>
      </w:r>
    </w:p>
    <w:p>
      <w:pPr>
        <w:spacing w:after="200" w:line="276"/>
        <w:jc w:val="both"/>
      </w:pPr>
      <w:r>
        <w:rPr>
          <w:rFonts w:ascii="Palatino Linotype" w:cs="Palatino Linotype" w:eastAsia="Palatino Linotype" w:hAnsi="Palatino Linotype"/>
          <w:sz w:val="22"/>
          <w:szCs w:val="22"/>
        </w:rPr>
        <w:t xml:space="preserve">A null result on both — Poissonian half-vortex nucleation statistics, and a smooth phase-locking threshold curve at all tested pump-power ratios — would indicate that the driven-dissipative character of this candidate does not, on its own, expose any additional structure in the phaset formalism beyond what the closed-system BEC candidate of PM-6 already tests.</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Platform: a GaAs- or CdTe-based semiconductor microcavity in the strong-coupling regime for the most extensively characterized spinor polariton physics, with a room-temperature alternative (GaN, ZnO, or an organic-semiconductor microcavity) as a practical cross-check requiring no cryostat.</w:t>
      </w:r>
    </w:p>
    <w:p>
      <w:pPr>
        <w:pStyle w:val="ListParagraph"/>
        <w:numPr>
          <w:ilvl w:val="0"/>
          <w:numId w:val="2"/>
        </w:numPr>
        <w:spacing w:after="120"/>
      </w:pPr>
      <w:r>
        <w:rPr>
          <w:rFonts w:ascii="Palatino Linotype" w:cs="Palatino Linotype" w:eastAsia="Palatino Linotype" w:hAnsi="Palatino Linotype"/>
          <w:sz w:val="22"/>
          <w:szCs w:val="22"/>
        </w:rPr>
        <w:t xml:space="preserve">Half-vortex nucleation statistics: non-resonant optical pumping at fixed power and spot geometry, with polarization-resolved interferometric imaging (following the Lagoudakis et al. 2009 protocol) across many repeated identical pump cycles, to detect and time individual half-quantum vortex-pair nucleation events for Fano-factor analysis against a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Josephson phase-locking threshold: two spatially separated pump spots (or two etched micropillars coupled by tunneling) with independently controllable pump power on each, mapping the phase-locking threshold via time-resolved interferometric phase measurement across a fine grid of relative pump-power ratios.</w:t>
      </w:r>
    </w:p>
    <w:p>
      <w:pPr>
        <w:pStyle w:val="ListParagraph"/>
        <w:numPr>
          <w:ilvl w:val="0"/>
          <w:numId w:val="2"/>
        </w:numPr>
        <w:spacing w:after="120"/>
      </w:pPr>
      <w:r>
        <w:rPr>
          <w:rFonts w:ascii="Palatino Linotype" w:cs="Palatino Linotype" w:eastAsia="Palatino Linotype" w:hAnsi="Palatino Linotype"/>
          <w:sz w:val="22"/>
          <w:szCs w:val="22"/>
        </w:rPr>
        <w:t xml:space="preserve">Coherence verification: standard first- and second-order coherence measurements (g¹, g²) at each measurement condition, to confirm the system is genuinely condensed (rather than merely showing conventional lasing behavior) before proceeding with either topological or Josephson measurements.</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with deliberately randomized pump-power sequencing between runs, and at pump conditions below the condensation threshold, to confirm that any observed sub-Poissonian clustering or threshold fine structure is tied to genuine condensate topological dynamics rather than pump-laser or detection-chain artifacts.</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Polariton condensates are comparatively strong against the PDC criteria concerned with scalable, parallel readout: lattice-coupled polariton arrays already realize many simultaneously phase-locked condensates, individually addressable by local pump spots and simultaneously read out via photoluminescence imaging, as demonstrated by existing polariton Ising-machine implementations. They are comparatively weak against criteria concerned with long-timescale coherence preservation in isolation: because the condensate exists only under continuous external pumping, there is no analogue of a closed system simply “holding” a prepared phaset state without external intervention — coherence is always actively maintained against dissipation rather than passively preserved. This is a direct, structural consequence of the driven-dissipative character motivating this note, and should be read as a genuine, not merely practical, distinction from the PM-4 and PM-6 candidates.</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in this series. It is falsified on its own terms if the half-vortex nucleation statistics in Prediction 1 are consistent with a Poissonian process across the tested pump and disorder conditions, and if the Josephson phase-locking threshold in Prediction 2 varies smoothly with pump-power ratio with no resolvable discrete structure. Because the driven-dissipative Gross–Pitaevskii and coupled-oscillator treatments this note is tested against are independently well-verified on this same experimental platform, a null result here would indicate that moving from a closed to an open, driven-dissipative realization does not, by itself, expose additional content in the phaset formalism’s amplitude and topological-sector coordinates.</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Exciton-polariton condensates share the closed-BEC candidate’s U(1) order-parameter structure while replacing its conserved norm with a continuously pump-and-loss-regulated steady state, and they add a topological object — the half-quantum vortex — unavailable to any scalar-order-parameter candidate in this series. This note has proposed a correspondence to the Phase Mechanics phaset that makes the driven-dissipative distinction explicit, specified two falsifiable predictions — sub-Poissonian half-vortex nucleation and discretized Josephson phase-locking thresholds — and laid out a protocol using standard polariton interferometric imaging on existing microcavity platforms, including several operating at room temperature. Together with PM-7’s structural stress test, this note completes a second axis of stress test for the phaset formalism: not only whether it generalizes past U(1) topology, but whether it survives the move from closed to driven-dissipative dynamics.</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Kasprzak, J. et al. “Bose–Einstein condensation of exciton polaritons.” Nature 443, 409 (2006).</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Amo, A. et al. “Superfluidity of polaritons in semiconductor microcavities.” Nature Physics 5, 805 (2009).</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Lagoudakis, K. G. et al. “Quantized vortices in an exciton–polariton condensate.” Nature Physics 4, 706 (2008).</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Rubo, Y. G. “Half vortices in exciton polariton condensates.” Physical Review Letters 99, 106401 (2007).</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Lagoudakis, K. G. et al. “Observation of half-quantum vortices in an exciton-polariton condensate.” Science 326, 974 (2009).</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Abbarchi, M. et al. “Macroscopic quantum self-trapping and Josephson oscillations of exciton polaritons.” Nature Physics 9, 275 (2013).</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Berloff, N. G. et al. “Realizing the classical XY Hamiltonian in polariton simulators.” Nature Materials 16, 1120 (2017).</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Kena-Cohen, S. and Forrest, S. R. “Room-temperature polariton lasing in an organic single-crystal microcavity.” Nature Photonics 4, 371 (2010).</w:t>
      </w:r>
    </w:p>
    <w:p>
      <w:pPr>
        <w:spacing w:after="120"/>
        <w:ind w:left="360" w:hanging="360"/>
      </w:pPr>
      <w:r>
        <w:rPr>
          <w:rFonts w:ascii="Palatino Linotype" w:cs="Palatino Linotype" w:eastAsia="Palatino Linotype" w:hAnsi="Palatino Linotype"/>
          <w:b/>
          <w:bCs/>
          <w:sz w:val="22"/>
          <w:szCs w:val="22"/>
        </w:rPr>
        <w:t xml:space="preserve">[9] </w:t>
      </w:r>
      <w:r>
        <w:rPr>
          <w:rFonts w:ascii="Palatino Linotype" w:cs="Palatino Linotype" w:eastAsia="Palatino Linotype" w:hAnsi="Palatino Linotype"/>
          <w:sz w:val="22"/>
          <w:szCs w:val="22"/>
        </w:rPr>
        <w:t xml:space="preserve">Deng, H., Haug, H., and Yamamoto, Y. “Exciton-polariton Bose–Einstein condensation.” Reviews of Modern Physics 82, 1489 (2010).</w:t>
      </w:r>
    </w:p>
    <w:p>
      <w:pPr>
        <w:spacing w:after="120"/>
        <w:ind w:left="360" w:hanging="360"/>
      </w:pPr>
      <w:r>
        <w:rPr>
          <w:rFonts w:ascii="Palatino Linotype" w:cs="Palatino Linotype" w:eastAsia="Palatino Linotype" w:hAnsi="Palatino Linotype"/>
          <w:b/>
          <w:bCs/>
          <w:sz w:val="22"/>
          <w:szCs w:val="22"/>
        </w:rPr>
        <w:t xml:space="preserve">[10]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PM-7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PM-8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2026-08-01T10:44:08.471Z</dcterms:created>
  <dcterms:modified xsi:type="dcterms:W3CDTF">2026-08-01T10:44:08.549Z</dcterms:modified>
</cp:coreProperties>
</file>

<file path=docProps/custom.xml><?xml version="1.0" encoding="utf-8"?>
<Properties xmlns="http://schemas.openxmlformats.org/officeDocument/2006/custom-properties" xmlns:vt="http://schemas.openxmlformats.org/officeDocument/2006/docPropsVTypes"/>
</file>