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rFonts w:ascii="Arial" w:cs="Arial" w:eastAsia="Arial" w:hAnsi="Arial"/>
          <w:b/>
          <w:bCs/>
          <w:color w:val="B08D57"/>
          <w:spacing w:val="40"/>
          <w:sz w:val="20"/>
          <w:szCs w:val="20"/>
        </w:rPr>
        <w:t xml:space="preserve">DUST LLC</w:t>
      </w:r>
    </w:p>
    <w:p>
      <w:pPr>
        <w:spacing w:after="400"/>
        <w:jc w:val="center"/>
      </w:pPr>
      <w:r>
        <w:rPr>
          <w:rFonts w:ascii="Arial" w:cs="Arial" w:eastAsia="Arial" w:hAnsi="Arial"/>
          <w:color w:val="666666"/>
          <w:spacing w:val="20"/>
          <w:sz w:val="18"/>
          <w:szCs w:val="18"/>
        </w:rPr>
        <w:t xml:space="preserve">Phase Physics Series</w:t>
      </w:r>
    </w:p>
    <w:p>
      <w:pPr>
        <w:spacing w:after="200"/>
        <w:jc w:val="center"/>
      </w:pPr>
      <w:r>
        <w:rPr>
          <w:rFonts w:ascii="Arial" w:cs="Arial" w:eastAsia="Arial" w:hAnsi="Arial"/>
          <w:b/>
          <w:bCs/>
          <w:color w:val="0B1F3A"/>
          <w:sz w:val="56"/>
          <w:szCs w:val="56"/>
        </w:rPr>
        <w:t xml:space="preserve">Phase Field Theory</w:t>
      </w:r>
    </w:p>
    <w:p>
      <w:pPr>
        <w:spacing w:after="800"/>
        <w:jc w:val="center"/>
      </w:pPr>
      <w:r>
        <w:rPr>
          <w:rFonts w:ascii="Arial" w:cs="Arial" w:eastAsia="Arial" w:hAnsi="Arial"/>
          <w:i/>
          <w:iCs/>
          <w:color w:val="B08D57"/>
          <w:sz w:val="30"/>
          <w:szCs w:val="30"/>
        </w:rPr>
        <w:t xml:space="preserve">A Field-Theoretic Foundation for Phase Physics</w:t>
      </w:r>
    </w:p>
    <w:p>
      <w:pPr>
        <w:spacing w:after="80"/>
        <w:jc w:val="center"/>
      </w:pPr>
      <w:r>
        <w:rPr>
          <w:rFonts w:ascii="Palatino Linotype" w:cs="Palatino Linotype" w:eastAsia="Palatino Linotype" w:hAnsi="Palatino Linotype"/>
          <w:color w:val="0B1F3A"/>
          <w:sz w:val="24"/>
          <w:szCs w:val="24"/>
        </w:rPr>
        <w:t xml:space="preserve">M. Brownlee</w:t>
      </w:r>
    </w:p>
    <w:p>
      <w:pPr>
        <w:spacing w:after="40"/>
        <w:jc w:val="center"/>
      </w:pPr>
      <w:r>
        <w:rPr>
          <w:rFonts w:ascii="Palatino Linotype" w:cs="Palatino Linotype" w:eastAsia="Palatino Linotype" w:hAnsi="Palatino Linotype"/>
          <w:color w:val="666666"/>
          <w:sz w:val="20"/>
          <w:szCs w:val="20"/>
        </w:rPr>
        <w:t xml:space="preserve">Dust LLC — Independent Research</w:t>
      </w:r>
    </w:p>
    <w:p>
      <w:pPr>
        <w:spacing w:after="1200"/>
        <w:jc w:val="center"/>
      </w:pPr>
      <w:r>
        <w:rPr>
          <w:rFonts w:ascii="Palatino Linotype" w:cs="Palatino Linotype" w:eastAsia="Palatino Linotype" w:hAnsi="Palatino Linotype"/>
          <w:i/>
          <w:iCs/>
          <w:color w:val="666666"/>
          <w:sz w:val="20"/>
          <w:szCs w:val="20"/>
        </w:rPr>
        <w:t xml:space="preserve">White Paper / Academic Preprint</w:t>
      </w:r>
    </w:p>
    <w:p>
      <w:r>
        <w:br w:type="page"/>
      </w:r>
    </w:p>
    <w:p>
      <w:pPr>
        <w:pStyle w:val="Heading1"/>
        <w:pBdr>
          <w:bottom w:val="single" w:color="B08D57" w:sz="8" w:space="4"/>
        </w:pBdr>
        <w:spacing w:after="240" w:before="480"/>
      </w:pPr>
      <w:r>
        <w:rPr>
          <w:rFonts w:ascii="Arial" w:cs="Arial" w:eastAsia="Arial" w:hAnsi="Arial"/>
          <w:b/>
          <w:bCs/>
          <w:color w:val="0B1F3A"/>
          <w:sz w:val="30"/>
          <w:szCs w:val="30"/>
        </w:rPr>
        <w:t xml:space="preserve">Abstract</w:t>
      </w:r>
    </w:p>
    <w:p>
      <w:pPr>
        <w:spacing w:after="200" w:line="300"/>
        <w:jc w:val="both"/>
      </w:pPr>
      <w:r>
        <w:rPr>
          <w:rFonts w:ascii="Palatino Linotype" w:cs="Palatino Linotype" w:eastAsia="Palatino Linotype" w:hAnsi="Palatino Linotype"/>
          <w:b w:val="false"/>
          <w:bCs w:val="false"/>
          <w:i w:val="false"/>
          <w:iCs w:val="false"/>
          <w:sz w:val="22"/>
          <w:szCs w:val="22"/>
        </w:rPr>
        <w:t xml:space="preserve">Physical reality is not any single effective description but the full phase diagram: the set of dominant saddles, their transitions, and the universal data invariant across them. Phase Physics is the phase in which a continuous global phase substrate is the dominant effective ontology, giving rise to spacetime geometry, gauge structure, and matter as emergent content. Phase Field Theory formalizes this phase as a field theory proper: an action-level, Lagrangian formulation of the substrate, its gauge structure, its induced coupling to gravity, and its topological sector identified with matter. It treats the substrate dynamically — field quantization on its configuration space, propagators and interaction vertices for its excitations, and a renormalization-group treatment of admissibility constraints across scales. Phase Field Theory is the effective Lagrangian of its saddle: one entry, not the whole, of the invariant phase diagram. Its central open problem is the one common to any such construction — defining a consistent path-integral measure over admissible configurations.</w:t>
      </w:r>
    </w:p>
    <w:p>
      <w:pPr>
        <w:pBdr>
          <w:top w:val="single" w:color="B08D57" w:sz="4" w:space="8"/>
          <w:bottom w:val="single" w:color="B08D57" w:sz="4" w:space="8"/>
        </w:pBdr>
        <w:spacing w:after="280" w:before="120"/>
        <w:jc w:val="center"/>
      </w:pPr>
      <w:r>
        <w:rPr>
          <w:rFonts w:ascii="Palatino Linotype" w:cs="Palatino Linotype" w:eastAsia="Palatino Linotype" w:hAnsi="Palatino Linotype"/>
          <w:b/>
          <w:bCs/>
          <w:i/>
          <w:iCs/>
          <w:color w:val="0B1F3A"/>
          <w:sz w:val="22"/>
          <w:szCs w:val="22"/>
        </w:rPr>
        <w:t xml:space="preserve">A phase substrate's laws are the effective Lagrangian of its saddle; the invariant is the full phase diagram in which that saddle sits.</w:t>
      </w:r>
    </w:p>
    <w:p>
      <w:r>
        <w:br w:type="page"/>
      </w:r>
    </w:p>
    <w:p>
      <w:pPr>
        <w:pStyle w:val="Heading1"/>
        <w:pBdr>
          <w:bottom w:val="single" w:color="B08D57" w:sz="8" w:space="4"/>
        </w:pBdr>
        <w:spacing w:after="240" w:before="480"/>
      </w:pPr>
      <w:r>
        <w:rPr>
          <w:rFonts w:ascii="Arial" w:cs="Arial" w:eastAsia="Arial" w:hAnsi="Arial"/>
          <w:b/>
          <w:bCs/>
          <w:color w:val="0B1F3A"/>
          <w:sz w:val="30"/>
          <w:szCs w:val="30"/>
        </w:rPr>
        <w:t xml:space="preserve">1. Introduction</w:t>
      </w:r>
    </w:p>
    <w:p>
      <w:pPr>
        <w:spacing w:after="200" w:line="300"/>
        <w:jc w:val="both"/>
      </w:pPr>
      <w:r>
        <w:rPr>
          <w:rFonts w:ascii="Palatino Linotype" w:cs="Palatino Linotype" w:eastAsia="Palatino Linotype" w:hAnsi="Palatino Linotype"/>
          <w:b w:val="false"/>
          <w:bCs w:val="false"/>
          <w:i w:val="false"/>
          <w:iCs w:val="false"/>
          <w:sz w:val="22"/>
          <w:szCs w:val="22"/>
        </w:rPr>
        <w:t xml:space="preserve">Phase Relativity Theory holds that no single effective description of a physical system is absolute. What is invariant is the full phase diagram: the set of dominant saddles a partition function may occupy, the transitions between them, and the universal data — critical exponents, anomaly coefficients, topological invariants — that survive the choice of description. A phase, in this sense, is not merely a state; it is an effective world, with its own stable degrees of freedom, its own ontology, and its own effective laws.</w:t>
      </w:r>
    </w:p>
    <w:p>
      <w:pPr>
        <w:spacing w:after="200" w:line="300"/>
        <w:jc w:val="both"/>
      </w:pPr>
      <w:r>
        <w:rPr>
          <w:rFonts w:ascii="Palatino Linotype" w:cs="Palatino Linotype" w:eastAsia="Palatino Linotype" w:hAnsi="Palatino Linotype"/>
          <w:b w:val="false"/>
          <w:bCs w:val="false"/>
          <w:i w:val="false"/>
          <w:iCs w:val="false"/>
          <w:sz w:val="22"/>
          <w:szCs w:val="22"/>
        </w:rPr>
        <w:t xml:space="preserve">Phase Physics is the name given to one such effective world: the saddle in which a continuous global phase substrate is the dominant description, and in which spacetime geometry, gauge structure, and matter all arise as its emergent content. Phase Theory established the existence and axiomatic structure of this saddle. The present paper, Phase Field Theory (PFT), takes the next step demanded by any saddle so identified: supplying it with an action, a set of dynamical variables, and a quantization program, so that the saddle can be treated with the same technical machinery used to treat any other field theory.</w:t>
      </w:r>
    </w:p>
    <w:p>
      <w:pPr>
        <w:spacing w:after="200" w:line="300"/>
        <w:jc w:val="both"/>
      </w:pPr>
      <w:r>
        <w:rPr>
          <w:rFonts w:ascii="Palatino Linotype" w:cs="Palatino Linotype" w:eastAsia="Palatino Linotype" w:hAnsi="Palatino Linotype"/>
          <w:b w:val="false"/>
          <w:bCs w:val="false"/>
          <w:i w:val="false"/>
          <w:iCs w:val="false"/>
          <w:sz w:val="22"/>
          <w:szCs w:val="22"/>
        </w:rPr>
        <w:t xml:space="preserve">This is not a claim that the phase substrate is the unique or final description of physical reality. It is the opposite claim, made precise: Phase Field Theory is exactly as universal as its saddle, and the paper is explicit throughout about which of its results are internal to that saddle and which would be expected to survive a transition out of it.</w:t>
      </w:r>
    </w:p>
    <w:p>
      <w:pPr>
        <w:pStyle w:val="Heading2"/>
        <w:spacing w:after="160" w:before="320"/>
      </w:pPr>
      <w:r>
        <w:rPr>
          <w:rFonts w:ascii="Arial" w:cs="Arial" w:eastAsia="Arial" w:hAnsi="Arial"/>
          <w:b/>
          <w:bCs/>
          <w:color w:val="0B1F3A"/>
          <w:sz w:val="24"/>
          <w:szCs w:val="24"/>
        </w:rPr>
        <w:t xml:space="preserve">1.1 Scope and Organization</w:t>
      </w:r>
    </w:p>
    <w:p>
      <w:pPr>
        <w:spacing w:after="200" w:line="300"/>
        <w:jc w:val="both"/>
      </w:pPr>
      <w:r>
        <w:rPr>
          <w:rFonts w:ascii="Palatino Linotype" w:cs="Palatino Linotype" w:eastAsia="Palatino Linotype" w:hAnsi="Palatino Linotype"/>
          <w:b w:val="false"/>
          <w:bCs w:val="false"/>
          <w:i w:val="false"/>
          <w:iCs w:val="false"/>
          <w:sz w:val="22"/>
          <w:szCs w:val="22"/>
        </w:rPr>
        <w:t xml:space="preserve">Section 2 situates the phase substrate as a saddle within the broader phase-diagram framework of Phase Relativity Theory, rather than as an independent ontological primitive. Section 3 develops the action-level formal framework: the substrate field, its gauged nonlinear sigma model target, its induced coupling to gravity, and its topological soliton sector. Section 4 catalogues the symmetry content of that action. Section 5 introduces the configuration space over which the substrate is quantized and the resulting spectrum of excitations. Section 6 develops a renormalization-group treatment of the admissibility constraints that recur throughout the substrate's dynamics. Section 7 draws correspondences between the substrate's excitations and known quasiparticle analogues. Section 8 embeds the construction within Phase Theory's axiomatic structure, with particular attention to Axiom 6 and its Combinatorial Rigidity result. Section 9 briefly addresses the deployment tracks built on this foundation. Section 10 states the central open problem. Section 11 concludes.</w:t>
      </w:r>
    </w:p>
    <w:p>
      <w:pPr>
        <w:pStyle w:val="Heading1"/>
        <w:pBdr>
          <w:bottom w:val="single" w:color="B08D57" w:sz="8" w:space="4"/>
        </w:pBdr>
        <w:spacing w:after="240" w:before="480"/>
      </w:pPr>
      <w:r>
        <w:rPr>
          <w:rFonts w:ascii="Arial" w:cs="Arial" w:eastAsia="Arial" w:hAnsi="Arial"/>
          <w:b/>
          <w:bCs/>
          <w:color w:val="0B1F3A"/>
          <w:sz w:val="30"/>
          <w:szCs w:val="30"/>
        </w:rPr>
        <w:t xml:space="preserve">2. The Phase Substrate as a Saddle</w:t>
      </w:r>
    </w:p>
    <w:p>
      <w:pPr>
        <w:spacing w:after="200" w:line="300"/>
        <w:jc w:val="both"/>
      </w:pPr>
      <w:r>
        <w:rPr>
          <w:rFonts w:ascii="Palatino Linotype" w:cs="Palatino Linotype" w:eastAsia="Palatino Linotype" w:hAnsi="Palatino Linotype"/>
          <w:b w:val="false"/>
          <w:bCs w:val="false"/>
          <w:i w:val="false"/>
          <w:iCs w:val="false"/>
          <w:sz w:val="22"/>
          <w:szCs w:val="22"/>
        </w:rPr>
        <w:t xml:space="preserve">Let a theory depend on a parameter space and let each region of that space in which a particular saddle dominates the partition function be called a phase. Each phase carries an effective Hilbert space, an effective Lagrangian, an effective ontology, and an effective symmetry structure. The invariant physical content is not any one phase's description; it is the full collection of phases together with their transitions and their universal data — the phase diagram.</w:t>
      </w:r>
    </w:p>
    <w:p>
      <w:pPr>
        <w:spacing w:after="200" w:line="300"/>
        <w:jc w:val="both"/>
      </w:pPr>
      <w:r>
        <w:rPr>
          <w:rFonts w:ascii="Palatino Linotype" w:cs="Palatino Linotype" w:eastAsia="Palatino Linotype" w:hAnsi="Palatino Linotype"/>
          <w:b w:val="false"/>
          <w:bCs w:val="false"/>
          <w:i w:val="false"/>
          <w:iCs w:val="false"/>
          <w:sz w:val="22"/>
          <w:szCs w:val="22"/>
        </w:rPr>
        <w:t xml:space="preserve">Phase Physics occupies the phase in which the dominant saddle is described by a single continuous field, here called the phase substrate, whose configuration determines the effective geometry, gauge content, and matter spectrum of that phase. This is the sense in which the substrate is fundamental: not as an assumption prior to or outside the phase-diagram framework, but as the identifying feature of one particular, well-defined region of it.</w:t>
      </w:r>
    </w:p>
    <w:p>
      <w:pPr>
        <w:spacing w:after="200" w:line="300"/>
        <w:jc w:val="both"/>
      </w:pPr>
      <w:r>
        <w:rPr>
          <w:rFonts w:ascii="Palatino Linotype" w:cs="Palatino Linotype" w:eastAsia="Palatino Linotype" w:hAnsi="Palatino Linotype"/>
          <w:b w:val="false"/>
          <w:bCs w:val="false"/>
          <w:i w:val="false"/>
          <w:iCs w:val="false"/>
          <w:sz w:val="22"/>
          <w:szCs w:val="22"/>
        </w:rPr>
        <w:t xml:space="preserve">Framed this way, three questions become well-posed for the first time. First, what distinguishes this phase from a neighboring one — that is, what plays the role of an order parameter for the substrate saddle. Second, what a transition out of the substrate phase would look like, and whether such a transition is a physical possibility or is excluded by the substrate's own admissibility structure. Third, what universal data — if any — the substrate phase shares with neighboring phases across a transition. This paper does not resolve these questions; it develops the field-theoretic apparatus of the substrate phase to the point where they can be posed with the necessary technical precision, and returns to them briefly in Section 10.</w:t>
      </w:r>
    </w:p>
    <w:p>
      <w:pPr>
        <w:pStyle w:val="Heading1"/>
        <w:pBdr>
          <w:bottom w:val="single" w:color="B08D57" w:sz="8" w:space="4"/>
        </w:pBdr>
        <w:spacing w:after="240" w:before="480"/>
      </w:pPr>
      <w:r>
        <w:rPr>
          <w:rFonts w:ascii="Arial" w:cs="Arial" w:eastAsia="Arial" w:hAnsi="Arial"/>
          <w:b/>
          <w:bCs/>
          <w:color w:val="0B1F3A"/>
          <w:sz w:val="30"/>
          <w:szCs w:val="30"/>
        </w:rPr>
        <w:t xml:space="preserve">3. Formal Framework</w:t>
      </w:r>
    </w:p>
    <w:p>
      <w:pPr>
        <w:spacing w:after="200" w:line="300"/>
        <w:jc w:val="both"/>
      </w:pPr>
      <w:r>
        <w:rPr>
          <w:rFonts w:ascii="Palatino Linotype" w:cs="Palatino Linotype" w:eastAsia="Palatino Linotype" w:hAnsi="Palatino Linotype"/>
          <w:b w:val="false"/>
          <w:bCs w:val="false"/>
          <w:i w:val="false"/>
          <w:iCs w:val="false"/>
          <w:sz w:val="22"/>
          <w:szCs w:val="22"/>
        </w:rPr>
        <w:t xml:space="preserve">The substrate is modeled as a scalar-valued field on spacetime, mapping into a target manifold carrying the structure of a gauged nonlinear sigma model. The target group is taken to be the product</w:t>
      </w:r>
    </w:p>
    <w:p>
      <w:pPr>
        <w:spacing w:after="200" w:before="160"/>
        <w:jc w:val="center"/>
      </w:pPr>
      <w:r>
        <w:rPr>
          <w:rFonts w:ascii="Cambria Math" w:cs="Cambria Math" w:eastAsia="Cambria Math" w:hAnsi="Cambria Math"/>
          <w:i/>
          <w:iCs/>
          <w:color w:val="0B1F3A"/>
          <w:sz w:val="24"/>
          <w:szCs w:val="24"/>
        </w:rPr>
        <w:t xml:space="preserve">G = U(1) × SU(2) × SU(3)</w:t>
      </w:r>
    </w:p>
    <w:p>
      <w:pPr>
        <w:spacing w:after="200" w:line="300"/>
        <w:jc w:val="both"/>
      </w:pPr>
      <w:r>
        <w:rPr>
          <w:rFonts w:ascii="Palatino Linotype" w:cs="Palatino Linotype" w:eastAsia="Palatino Linotype" w:hAnsi="Palatino Linotype"/>
          <w:b w:val="false"/>
          <w:bCs w:val="false"/>
          <w:i w:val="false"/>
          <w:iCs w:val="false"/>
          <w:sz w:val="22"/>
          <w:szCs w:val="22"/>
        </w:rPr>
        <w:t xml:space="preserve">so that the substrate's internal configuration space carries simultaneously the abelian phase structure responsible for electromagnetic-type gauge content, the weak isospin structure of SU(2), and the color structure of SU(3). The action divides into a kinetic sector for the substrate field, a gauge sector for the connection valued in the Lie algebra of G, and an interaction sector coupling the two:</w:t>
      </w:r>
    </w:p>
    <w:p>
      <w:pPr>
        <w:spacing w:after="200" w:before="160"/>
        <w:jc w:val="center"/>
      </w:pPr>
      <w:r>
        <w:rPr>
          <w:rFonts w:ascii="Cambria Math" w:cs="Cambria Math" w:eastAsia="Cambria Math" w:hAnsi="Cambria Math"/>
          <w:i/>
          <w:iCs/>
          <w:color w:val="0B1F3A"/>
          <w:sz w:val="24"/>
          <w:szCs w:val="24"/>
        </w:rPr>
        <w:t xml:space="preserve">S[Φ, A] = ∫ d⁴x (−g)^(1/2) [ 𝒦(Φ, DΦ) + 𝒢(F) + ℐ(Φ, A) ]</w:t>
      </w:r>
    </w:p>
    <w:p>
      <w:pPr>
        <w:spacing w:after="200" w:line="300"/>
        <w:jc w:val="both"/>
      </w:pPr>
      <w:r>
        <w:rPr>
          <w:rFonts w:ascii="Palatino Linotype" w:cs="Palatino Linotype" w:eastAsia="Palatino Linotype" w:hAnsi="Palatino Linotype"/>
          <w:b w:val="false"/>
          <w:bCs w:val="false"/>
          <w:i w:val="false"/>
          <w:iCs w:val="false"/>
          <w:sz w:val="22"/>
          <w:szCs w:val="22"/>
        </w:rPr>
        <w:t xml:space="preserve">where D is the gauge- and metric-covariant derivative, F is the field strength of the connection A, 𝒦 is the substrate kinetic term, 𝒢 is the Yang–Mills-type gauge kinetic term, and ℐ collects the interaction terms fixed by the sigma-model target geometry.</w:t>
      </w:r>
    </w:p>
    <w:p>
      <w:pPr>
        <w:pStyle w:val="Heading2"/>
        <w:spacing w:after="160" w:before="320"/>
      </w:pPr>
      <w:r>
        <w:rPr>
          <w:rFonts w:ascii="Arial" w:cs="Arial" w:eastAsia="Arial" w:hAnsi="Arial"/>
          <w:b/>
          <w:bCs/>
          <w:color w:val="0B1F3A"/>
          <w:sz w:val="24"/>
          <w:szCs w:val="24"/>
        </w:rPr>
        <w:t xml:space="preserve">3.1 Induced Gravity</w:t>
      </w:r>
    </w:p>
    <w:p>
      <w:pPr>
        <w:spacing w:after="200" w:line="300"/>
        <w:jc w:val="both"/>
      </w:pPr>
      <w:r>
        <w:rPr>
          <w:rFonts w:ascii="Palatino Linotype" w:cs="Palatino Linotype" w:eastAsia="Palatino Linotype" w:hAnsi="Palatino Linotype"/>
          <w:b w:val="false"/>
          <w:bCs w:val="false"/>
          <w:i w:val="false"/>
          <w:iCs w:val="false"/>
          <w:sz w:val="22"/>
          <w:szCs w:val="22"/>
        </w:rPr>
        <w:t xml:space="preserve">Rather than positing the Einstein–Hilbert term as fundamental, Phase Field Theory follows the Sakharov mechanism: the gravitational sector is induced by the substrate's own quantum fluctuations. Integrating out short-distance substrate modes generates an effective action whose leading curvature term reproduces general relativity, with Newton's constant expressed as a function of the substrate's coupling structure and its ultraviolet cutoff rather than appearing as an independent fundamental parameter:</w:t>
      </w:r>
    </w:p>
    <w:p>
      <w:pPr>
        <w:spacing w:after="200" w:before="160"/>
        <w:jc w:val="center"/>
      </w:pPr>
      <w:r>
        <w:rPr>
          <w:rFonts w:ascii="Cambria Math" w:cs="Cambria Math" w:eastAsia="Cambria Math" w:hAnsi="Cambria Math"/>
          <w:i/>
          <w:iCs/>
          <w:color w:val="0B1F3A"/>
          <w:sz w:val="24"/>
          <w:szCs w:val="24"/>
        </w:rPr>
        <w:t xml:space="preserve">1 / Gₙ  ∝  Λ² · (substrate degrees of freedom, weighted by spin and multiplicity)</w:t>
      </w:r>
    </w:p>
    <w:p>
      <w:pPr>
        <w:spacing w:after="200" w:line="300"/>
        <w:jc w:val="both"/>
      </w:pPr>
      <w:r>
        <w:rPr>
          <w:rFonts w:ascii="Palatino Linotype" w:cs="Palatino Linotype" w:eastAsia="Palatino Linotype" w:hAnsi="Palatino Linotype"/>
          <w:b w:val="false"/>
          <w:bCs w:val="false"/>
          <w:i w:val="false"/>
          <w:iCs w:val="false"/>
          <w:sz w:val="22"/>
          <w:szCs w:val="22"/>
        </w:rPr>
        <w:t xml:space="preserve">This is the sense in which spacetime geometry is emergent content of the substrate phase rather than an independent structure the substrate propagates on: the metric is a low-energy collective variable of the same field whose gauge sector produces the standard-model-type content above.</w:t>
      </w:r>
    </w:p>
    <w:p>
      <w:pPr>
        <w:pStyle w:val="Heading2"/>
        <w:spacing w:after="160" w:before="320"/>
      </w:pPr>
      <w:r>
        <w:rPr>
          <w:rFonts w:ascii="Arial" w:cs="Arial" w:eastAsia="Arial" w:hAnsi="Arial"/>
          <w:b/>
          <w:bCs/>
          <w:color w:val="0B1F3A"/>
          <w:sz w:val="24"/>
          <w:szCs w:val="24"/>
        </w:rPr>
        <w:t xml:space="preserve">3.2 Matter as Topological Solitons</w:t>
      </w:r>
    </w:p>
    <w:p>
      <w:pPr>
        <w:spacing w:after="200" w:line="300"/>
        <w:jc w:val="both"/>
      </w:pPr>
      <w:r>
        <w:rPr>
          <w:rFonts w:ascii="Palatino Linotype" w:cs="Palatino Linotype" w:eastAsia="Palatino Linotype" w:hAnsi="Palatino Linotype"/>
          <w:b w:val="false"/>
          <w:bCs w:val="false"/>
          <w:i w:val="false"/>
          <w:iCs w:val="false"/>
          <w:sz w:val="22"/>
          <w:szCs w:val="22"/>
        </w:rPr>
        <w:t xml:space="preserve">Matter fields are not introduced as separate fundamental degrees of freedom. Instead, stable, localized, topologically nontrivial configurations of the substrate field — solitons classified by the homotopy structure of the target manifold G — are identified with matter. A soliton's conserved topological charge plays the role of a particle's quantum numbers; its energy functional, minimized within a fixed homotopy class, plays the role of its mass. This identification is what allows the same action to simultaneously supply geometry (Section 3.1), gauge content (the G-valued connection), and matter (topological solitons of Φ) from a single underlying field.</w:t>
      </w:r>
    </w:p>
    <w:p>
      <w:pPr>
        <w:pStyle w:val="Heading1"/>
        <w:pBdr>
          <w:bottom w:val="single" w:color="B08D57" w:sz="8" w:space="4"/>
        </w:pBdr>
        <w:spacing w:after="240" w:before="480"/>
      </w:pPr>
      <w:r>
        <w:rPr>
          <w:rFonts w:ascii="Arial" w:cs="Arial" w:eastAsia="Arial" w:hAnsi="Arial"/>
          <w:b/>
          <w:bCs/>
          <w:color w:val="0B1F3A"/>
          <w:sz w:val="30"/>
          <w:szCs w:val="30"/>
        </w:rPr>
        <w:t xml:space="preserve">4. Symmetry Content</w:t>
      </w:r>
    </w:p>
    <w:p>
      <w:pPr>
        <w:spacing w:after="200" w:line="300"/>
        <w:jc w:val="both"/>
      </w:pPr>
      <w:r>
        <w:rPr>
          <w:rFonts w:ascii="Palatino Linotype" w:cs="Palatino Linotype" w:eastAsia="Palatino Linotype" w:hAnsi="Palatino Linotype"/>
          <w:b w:val="false"/>
          <w:bCs w:val="false"/>
          <w:i w:val="false"/>
          <w:iCs w:val="false"/>
          <w:sz w:val="22"/>
          <w:szCs w:val="22"/>
        </w:rPr>
        <w:t xml:space="preserve">The action of Section 3 is invariant under diffeomorphisms of spacetime, inherited from the induced metric; under local G-valued gauge transformations acting on the connection and covariantly on the substrate field; and under any global symmetries of the target manifold's sigma-model metric that are not gauged. Spontaneous breaking of the target symmetry — realized when the substrate's vacuum expectation value selects a particular point, or orbit, in the target manifold — proceeds by the standard Goldstone mechanism for the ungauged directions and by the Higgs mechanism for the gauged ones, exactly as in any nonlinear sigma model with a gauged subgroup.</w:t>
      </w:r>
    </w:p>
    <w:p>
      <w:pPr>
        <w:spacing w:after="200" w:line="300"/>
        <w:jc w:val="both"/>
      </w:pPr>
      <w:r>
        <w:rPr>
          <w:rFonts w:ascii="Palatino Linotype" w:cs="Palatino Linotype" w:eastAsia="Palatino Linotype" w:hAnsi="Palatino Linotype"/>
          <w:b w:val="false"/>
          <w:bCs w:val="false"/>
          <w:i w:val="false"/>
          <w:iCs w:val="false"/>
          <w:sz w:val="22"/>
          <w:szCs w:val="22"/>
        </w:rPr>
        <w:t xml:space="preserve">Two symmetry structures are specific to the substrate phase rather than inherited from the generic sigma-model construction. The first is the admissibility structure on configurations, discussed further in Sections 6 and 8, which restricts the physical configuration space beyond what gauge invariance alone would impose. The second is the discrete symmetry, established at the level of Phase Theory's axioms, that forbids closed trajectories in the substrate's update ordering — the No-Closed-Phase-Loop structure — which acts as a global constraint on the class of histories the path integral of Section 5 is permitted to sum over.</w:t>
      </w:r>
    </w:p>
    <w:p>
      <w:pPr>
        <w:pStyle w:val="Heading1"/>
        <w:pBdr>
          <w:bottom w:val="single" w:color="B08D57" w:sz="8" w:space="4"/>
        </w:pBdr>
        <w:spacing w:after="240" w:before="480"/>
      </w:pPr>
      <w:r>
        <w:rPr>
          <w:rFonts w:ascii="Arial" w:cs="Arial" w:eastAsia="Arial" w:hAnsi="Arial"/>
          <w:b/>
          <w:bCs/>
          <w:color w:val="0B1F3A"/>
          <w:sz w:val="30"/>
          <w:szCs w:val="30"/>
        </w:rPr>
        <w:t xml:space="preserve">5. The Phase Configuration Manifold and Quantization</w:t>
      </w:r>
    </w:p>
    <w:p>
      <w:pPr>
        <w:spacing w:after="200" w:line="300"/>
        <w:jc w:val="both"/>
      </w:pPr>
      <w:r>
        <w:rPr>
          <w:rFonts w:ascii="Palatino Linotype" w:cs="Palatino Linotype" w:eastAsia="Palatino Linotype" w:hAnsi="Palatino Linotype"/>
          <w:b w:val="false"/>
          <w:bCs w:val="false"/>
          <w:i w:val="false"/>
          <w:iCs w:val="false"/>
          <w:sz w:val="22"/>
          <w:szCs w:val="22"/>
        </w:rPr>
        <w:t xml:space="preserve">The substrate's admissible configurations are organized as a stratified fiber bundle, the Phase Configuration Manifold M_Φ. Its points are values of the phasefunction</w:t>
      </w:r>
    </w:p>
    <w:p>
      <w:pPr>
        <w:spacing w:after="200" w:before="160"/>
        <w:jc w:val="center"/>
      </w:pPr>
      <w:r>
        <w:rPr>
          <w:rFonts w:ascii="Cambria Math" w:cs="Cambria Math" w:eastAsia="Cambria Math" w:hAnsi="Cambria Math"/>
          <w:i/>
          <w:iCs/>
          <w:color w:val="0B1F3A"/>
          <w:sz w:val="24"/>
          <w:szCs w:val="24"/>
        </w:rPr>
        <w:t xml:space="preserve">Φ = (A, θ, Ξ)</w:t>
      </w:r>
    </w:p>
    <w:p>
      <w:pPr>
        <w:spacing w:after="200" w:line="300"/>
        <w:jc w:val="both"/>
      </w:pPr>
      <w:r>
        <w:rPr>
          <w:rFonts w:ascii="Palatino Linotype" w:cs="Palatino Linotype" w:eastAsia="Palatino Linotype" w:hAnsi="Palatino Linotype"/>
          <w:b w:val="false"/>
          <w:bCs w:val="false"/>
          <w:i w:val="false"/>
          <w:iCs w:val="false"/>
          <w:sz w:val="22"/>
          <w:szCs w:val="22"/>
        </w:rPr>
        <w:t xml:space="preserve">where A is the coherence amplitude, θ is the substrate phase, and Ξ is the topological sector. The base of the bundle parametrizes Ξ; the fiber over each point parametrizes the continuous (A, θ) content available within that sector. Strata correspond to loci where the topological classification of Ξ degenerates or changes — the natural locus for soliton creation and annihilation processes. M_Φ carries a metric ds² = G_AB dΦᴬdΦᴮ, inducing a coherence measure C = e^(−D) from the geodesic distance D between configurations; in the neighborhood of a fixed configuration Φ₀, the tangent space T_Φ₀M_Φ furnishes the local quantum Hilbert space, ℋ ≅ T_Φ₀M_Φ.</w:t>
      </w:r>
    </w:p>
    <w:p>
      <w:pPr>
        <w:spacing w:after="200" w:line="300"/>
        <w:jc w:val="both"/>
      </w:pPr>
      <w:r>
        <w:rPr>
          <w:rFonts w:ascii="Palatino Linotype" w:cs="Palatino Linotype" w:eastAsia="Palatino Linotype" w:hAnsi="Palatino Linotype"/>
          <w:b w:val="false"/>
          <w:bCs w:val="false"/>
          <w:i w:val="false"/>
          <w:iCs w:val="false"/>
          <w:sz w:val="22"/>
          <w:szCs w:val="22"/>
        </w:rPr>
        <w:t xml:space="preserve">The fundamental excitation of the theory, the phaset, is defined as a point of M_Φ with frozen coherence amplitude and trivial topological sector. In this limit the phaset reduces to the familiar qubit: a two-level system with no residual continuous or topological structure. Away from this limit, phasets carry both a continuous phase degree of freedom and, where the topological sector is nontrivial, a discrete charge — giving a single formalism that interpolates between conventional qubits and topologically protected excitations.</w:t>
      </w:r>
    </w:p>
    <w:p>
      <w:pPr>
        <w:pStyle w:val="Heading2"/>
        <w:spacing w:after="160" w:before="320"/>
      </w:pPr>
      <w:r>
        <w:rPr>
          <w:rFonts w:ascii="Arial" w:cs="Arial" w:eastAsia="Arial" w:hAnsi="Arial"/>
          <w:b/>
          <w:bCs/>
          <w:color w:val="0B1F3A"/>
          <w:sz w:val="24"/>
          <w:szCs w:val="24"/>
        </w:rPr>
        <w:t xml:space="preserve">5.1 Quantization</w:t>
      </w:r>
    </w:p>
    <w:p>
      <w:pPr>
        <w:spacing w:after="200" w:line="300"/>
        <w:jc w:val="both"/>
      </w:pPr>
      <w:r>
        <w:rPr>
          <w:rFonts w:ascii="Palatino Linotype" w:cs="Palatino Linotype" w:eastAsia="Palatino Linotype" w:hAnsi="Palatino Linotype"/>
          <w:b w:val="false"/>
          <w:bCs w:val="false"/>
          <w:i w:val="false"/>
          <w:iCs w:val="false"/>
          <w:sz w:val="22"/>
          <w:szCs w:val="22"/>
        </w:rPr>
        <w:t xml:space="preserve">Canonical quantization proceeds by promoting the coherence amplitude and its conjugate phase-momentum on each fiber to operators satisfying the standard commutation relations, restricted to the admissible substrate of the Phase Configuration Manifold. The resulting Fock-type space is built from the vacuum sector's trivial stratum outward, with creation and annihilation operators for phaset excitations defined stratum-by-stratum. Propagators are two-point functions of the substrate field restricted to a single stratum; interaction vertices arise from the ℐ(Φ, A) term of Section 3 together with any stratum-changing terms permitted by the admissibility structure, the latter responsible for soliton pair-creation and annihilation processes.</w:t>
      </w:r>
    </w:p>
    <w:p>
      <w:pPr>
        <w:pStyle w:val="Heading2"/>
        <w:spacing w:after="160" w:before="320"/>
      </w:pPr>
      <w:r>
        <w:rPr>
          <w:rFonts w:ascii="Arial" w:cs="Arial" w:eastAsia="Arial" w:hAnsi="Arial"/>
          <w:b/>
          <w:bCs/>
          <w:color w:val="0B1F3A"/>
          <w:sz w:val="24"/>
          <w:szCs w:val="24"/>
        </w:rPr>
        <w:t xml:space="preserve">5.2 The Six Phase DiVincenzo Criteria</w:t>
      </w:r>
    </w:p>
    <w:p>
      <w:pPr>
        <w:spacing w:after="200" w:line="300"/>
        <w:jc w:val="both"/>
      </w:pPr>
      <w:r>
        <w:rPr>
          <w:rFonts w:ascii="Palatino Linotype" w:cs="Palatino Linotype" w:eastAsia="Palatino Linotype" w:hAnsi="Palatino Linotype"/>
          <w:b w:val="false"/>
          <w:bCs w:val="false"/>
          <w:i w:val="false"/>
          <w:iCs w:val="false"/>
          <w:sz w:val="22"/>
          <w:szCs w:val="22"/>
        </w:rPr>
        <w:t xml:space="preserve">For the trivial-sector, frozen-amplitude phaset to serve as a physical qubit, six criteria — direct analogues of the DiVincenzo criteria for conventional quantum computation — must be satisfiable within the substrate phase: scalable identification of well-characterized phaset registers; reliable initialization to a reference stratum; coherence times long compared to the relevant gate operations; a universal set of stratum-preserving unitary operations; qubit-specific measurement capability; and reliable interconversion between static (register) and mobile (propagating) phaset excitations. Each criterion is a statement about the admissible substrate near the trivial stratum, and each is addressed in detail in the Phase Mechanics programme; they are recorded here only to fix the target that the quantization scheme of this section must ultimately meet.</w:t>
      </w:r>
    </w:p>
    <w:p>
      <w:pPr>
        <w:pStyle w:val="Heading1"/>
        <w:pBdr>
          <w:bottom w:val="single" w:color="B08D57" w:sz="8" w:space="4"/>
        </w:pBdr>
        <w:spacing w:after="240" w:before="480"/>
      </w:pPr>
      <w:r>
        <w:rPr>
          <w:rFonts w:ascii="Arial" w:cs="Arial" w:eastAsia="Arial" w:hAnsi="Arial"/>
          <w:b/>
          <w:bCs/>
          <w:color w:val="0B1F3A"/>
          <w:sz w:val="30"/>
          <w:szCs w:val="30"/>
        </w:rPr>
        <w:t xml:space="preserve">6. Renormalization Group Treatment of Admissibility</w:t>
      </w:r>
    </w:p>
    <w:p>
      <w:pPr>
        <w:spacing w:after="200" w:line="300"/>
        <w:jc w:val="both"/>
      </w:pPr>
      <w:r>
        <w:rPr>
          <w:rFonts w:ascii="Palatino Linotype" w:cs="Palatino Linotype" w:eastAsia="Palatino Linotype" w:hAnsi="Palatino Linotype"/>
          <w:b w:val="false"/>
          <w:bCs w:val="false"/>
          <w:i w:val="false"/>
          <w:iCs w:val="false"/>
          <w:sz w:val="22"/>
          <w:szCs w:val="22"/>
        </w:rPr>
        <w:t xml:space="preserve">The admissibility constraints that restrict which substrate configurations are physical are not fixed once and for all at a single scale; they are subject to a renormalization-group flow as short-distance substrate modes are integrated out. At each scale, the admissible subset of the Phase Configuration Manifold is characterized by a set of coupling-like parameters governing which strata may be reached from a given configuration and at what cost in the effective action.</w:t>
      </w:r>
    </w:p>
    <w:p>
      <w:pPr>
        <w:spacing w:after="200" w:line="300"/>
        <w:jc w:val="both"/>
      </w:pPr>
      <w:r>
        <w:rPr>
          <w:rFonts w:ascii="Palatino Linotype" w:cs="Palatino Linotype" w:eastAsia="Palatino Linotype" w:hAnsi="Palatino Linotype"/>
          <w:b w:val="false"/>
          <w:bCs w:val="false"/>
          <w:i w:val="false"/>
          <w:iCs w:val="false"/>
          <w:sz w:val="22"/>
          <w:szCs w:val="22"/>
        </w:rPr>
        <w:t xml:space="preserve">Coarse-graining the substrate field over a shell of high-momentum modes induces a flow in these admissibility parameters alongside the ordinary flow of the couplings appearing in 𝒦, 𝒢, and ℐ. Fixed points of this combined flow correspond to scale-invariant admissibility structures — candidates for the effective theories realized at the boundaries between the substrate phase and neighboring phases in the sense of Section 2. Characterizing these fixed points, and in particular determining whether any of them coincide with the structure required by Axiom 6 (Section 8), is left as a direction for future work rather than resolved here.</w:t>
      </w:r>
    </w:p>
    <w:p>
      <w:pPr>
        <w:pStyle w:val="Heading1"/>
        <w:pBdr>
          <w:bottom w:val="single" w:color="B08D57" w:sz="8" w:space="4"/>
        </w:pBdr>
        <w:spacing w:after="240" w:before="480"/>
      </w:pPr>
      <w:r>
        <w:rPr>
          <w:rFonts w:ascii="Arial" w:cs="Arial" w:eastAsia="Arial" w:hAnsi="Arial"/>
          <w:b/>
          <w:bCs/>
          <w:color w:val="0B1F3A"/>
          <w:sz w:val="30"/>
          <w:szCs w:val="30"/>
        </w:rPr>
        <w:t xml:space="preserve">7. Correspondence with Quasiparticle Analogues</w:t>
      </w:r>
    </w:p>
    <w:p>
      <w:pPr>
        <w:spacing w:after="200" w:line="300"/>
        <w:jc w:val="both"/>
      </w:pPr>
      <w:r>
        <w:rPr>
          <w:rFonts w:ascii="Palatino Linotype" w:cs="Palatino Linotype" w:eastAsia="Palatino Linotype" w:hAnsi="Palatino Linotype"/>
          <w:b w:val="false"/>
          <w:bCs w:val="false"/>
          <w:i w:val="false"/>
          <w:iCs w:val="false"/>
          <w:sz w:val="22"/>
          <w:szCs w:val="22"/>
        </w:rPr>
        <w:t xml:space="preserve">Because the substrate's low-energy excitation spectrum is organized around amplitude and phase degrees of freedom on a configuration manifold, it admits direct correspondences with several well-studied condensed-matter quasiparticles, which serve both as intuition and as candidate terrestrial probes of the formalism.</w:t>
      </w:r>
    </w:p>
    <w:p>
      <w:pPr>
        <w:pStyle w:val="ListParagraph"/>
        <w:numPr>
          <w:ilvl w:val="0"/>
          <w:numId w:val="2"/>
        </w:numPr>
        <w:spacing w:after="100"/>
      </w:pPr>
      <w:r>
        <w:rPr>
          <w:rFonts w:ascii="Palatino Linotype" w:cs="Palatino Linotype" w:eastAsia="Palatino Linotype" w:hAnsi="Palatino Linotype"/>
          <w:sz w:val="22"/>
          <w:szCs w:val="22"/>
        </w:rPr>
        <w:t xml:space="preserve">Phasons — Goldstone-type excitations of the substrate's phase degree of freedom at fixed amplitude, directly analogous to the phase mode of a charge-density wave.</w:t>
      </w:r>
    </w:p>
    <w:p>
      <w:pPr>
        <w:pStyle w:val="ListParagraph"/>
        <w:numPr>
          <w:ilvl w:val="0"/>
          <w:numId w:val="2"/>
        </w:numPr>
        <w:spacing w:after="100"/>
      </w:pPr>
      <w:r>
        <w:rPr>
          <w:rFonts w:ascii="Palatino Linotype" w:cs="Palatino Linotype" w:eastAsia="Palatino Linotype" w:hAnsi="Palatino Linotype"/>
          <w:sz w:val="22"/>
          <w:szCs w:val="22"/>
        </w:rPr>
        <w:t xml:space="preserve">Amplitudons — massive excitations of the substrate's coherence-amplitude degree of freedom, directly analogous to the amplitude (Higgs-type) mode of a charge-density wave.</w:t>
      </w:r>
    </w:p>
    <w:p>
      <w:pPr>
        <w:pStyle w:val="ListParagraph"/>
        <w:numPr>
          <w:ilvl w:val="0"/>
          <w:numId w:val="2"/>
        </w:numPr>
        <w:spacing w:after="100"/>
      </w:pPr>
      <w:r>
        <w:rPr>
          <w:rFonts w:ascii="Palatino Linotype" w:cs="Palatino Linotype" w:eastAsia="Palatino Linotype" w:hAnsi="Palatino Linotype"/>
          <w:sz w:val="22"/>
          <w:szCs w:val="22"/>
        </w:rPr>
        <w:t xml:space="preserve">Rotons — excitations associated with a local minimum in the substrate's dispersion relation away from zero momentum, analogous to the roton minimum of superfluid helium.</w:t>
      </w:r>
    </w:p>
    <w:p>
      <w:pPr>
        <w:spacing w:after="200" w:line="300"/>
        <w:jc w:val="both"/>
      </w:pPr>
      <w:r>
        <w:rPr>
          <w:rFonts w:ascii="Palatino Linotype" w:cs="Palatino Linotype" w:eastAsia="Palatino Linotype" w:hAnsi="Palatino Linotype"/>
          <w:b w:val="false"/>
          <w:bCs w:val="false"/>
          <w:i w:val="false"/>
          <w:iCs w:val="false"/>
          <w:sz w:val="22"/>
          <w:szCs w:val="22"/>
        </w:rPr>
        <w:t xml:space="preserve">These correspondences are not claimed to be exact dualities; they are structural analogies intended to guide both the choice of terrestrial deployment platforms and the qualitative expectations for the substrate's excitation spectrum in regimes where the full field theory is difficult to solve directly.</w:t>
      </w:r>
    </w:p>
    <w:p>
      <w:pPr>
        <w:pStyle w:val="Heading1"/>
        <w:pBdr>
          <w:bottom w:val="single" w:color="B08D57" w:sz="8" w:space="4"/>
        </w:pBdr>
        <w:spacing w:after="240" w:before="480"/>
      </w:pPr>
      <w:r>
        <w:rPr>
          <w:rFonts w:ascii="Arial" w:cs="Arial" w:eastAsia="Arial" w:hAnsi="Arial"/>
          <w:b/>
          <w:bCs/>
          <w:color w:val="0B1F3A"/>
          <w:sz w:val="30"/>
          <w:szCs w:val="30"/>
        </w:rPr>
        <w:t xml:space="preserve">8. Axiomatic Embedding: Axiom 6 and Combinatorial Rigidity</w:t>
      </w:r>
    </w:p>
    <w:p>
      <w:pPr>
        <w:spacing w:after="200" w:line="300"/>
        <w:jc w:val="both"/>
      </w:pPr>
      <w:r>
        <w:rPr>
          <w:rFonts w:ascii="Palatino Linotype" w:cs="Palatino Linotype" w:eastAsia="Palatino Linotype" w:hAnsi="Palatino Linotype"/>
          <w:b w:val="false"/>
          <w:bCs w:val="false"/>
          <w:i w:val="false"/>
          <w:iCs w:val="false"/>
          <w:sz w:val="22"/>
          <w:szCs w:val="22"/>
        </w:rPr>
        <w:t xml:space="preserve">Phase Theory's foundational axioms (Axioms 1 through 5) fix the substrate's basic ontological and dynamical structure but were shown, in Technical Note PTN-01, not to support a universal positive-geometry — an amplituhedron-style — construction for the substrate's admissible configurations. The obstruction was traced to the theory's lack of an integrable structure at the level of Axioms 1 through 5 alone, and PTN-01 left open the possibility of a sixth axiom supplying the missing ingredient.</w:t>
      </w:r>
    </w:p>
    <w:p>
      <w:pPr>
        <w:spacing w:after="200" w:line="300"/>
        <w:jc w:val="both"/>
      </w:pPr>
      <w:r>
        <w:rPr>
          <w:rFonts w:ascii="Palatino Linotype" w:cs="Palatino Linotype" w:eastAsia="Palatino Linotype" w:hAnsi="Palatino Linotype"/>
          <w:b w:val="false"/>
          <w:bCs w:val="false"/>
          <w:i w:val="false"/>
          <w:iCs w:val="false"/>
          <w:sz w:val="22"/>
          <w:szCs w:val="22"/>
        </w:rPr>
        <w:t xml:space="preserve">Axiom 6, Combinatorial Rigidity, supplies it by passing to the linked, or braided, charge lattice underlying admissible configurations. On this lattice, Axiom 6 posits a linking-form exchange matrix together with a cluster-algebra structure, and shows that the conditions whose joint failure PTN-01 established in the unlinked sector are restored once attention is restricted to the linked sector. Axiom 6 further conjectures the existence of a cluster canonical form whose residues correspond to the sampling channels of the MHQ-GBS Conjecture — the proposal that Jahn–Teller systems serve as native Gaussian Boson Sampling substrates via an identity linking their Franck–Condon vibronic overlap structure to the hafnian, the combinatorial invariant governing Gaussian Boson Sampling output probabilities. That correspondence is proposed as the falsifiable test connecting the combinatorial structure introduced by Axiom 6 to an independently motivated physical sampling problem.</w:t>
      </w:r>
    </w:p>
    <w:p>
      <w:pPr>
        <w:spacing w:after="200" w:line="300"/>
        <w:jc w:val="both"/>
      </w:pPr>
      <w:r>
        <w:rPr>
          <w:rFonts w:ascii="Palatino Linotype" w:cs="Palatino Linotype" w:eastAsia="Palatino Linotype" w:hAnsi="Palatino Linotype"/>
          <w:b w:val="false"/>
          <w:bCs w:val="false"/>
          <w:i w:val="false"/>
          <w:iCs w:val="false"/>
          <w:sz w:val="22"/>
          <w:szCs w:val="22"/>
        </w:rPr>
        <w:t xml:space="preserve">For Phase Field Theory, Axiom 6 is the structure the renormalization-group fixed points of Section 6 would need to reproduce in order for the theory's admissibility constraints to admit a consistent geometric — rather than purely combinatorial — description at the level of the action. Section 10 returns to this as the paper's central open problem.</w:t>
      </w:r>
    </w:p>
    <w:p>
      <w:pPr>
        <w:pStyle w:val="Heading1"/>
        <w:pBdr>
          <w:bottom w:val="single" w:color="B08D57" w:sz="8" w:space="4"/>
        </w:pBdr>
        <w:spacing w:after="240" w:before="480"/>
      </w:pPr>
      <w:r>
        <w:rPr>
          <w:rFonts w:ascii="Arial" w:cs="Arial" w:eastAsia="Arial" w:hAnsi="Arial"/>
          <w:b/>
          <w:bCs/>
          <w:color w:val="0B1F3A"/>
          <w:sz w:val="30"/>
          <w:szCs w:val="30"/>
        </w:rPr>
        <w:t xml:space="preserve">9. Deployment Tracks: Phaset and Framet</w:t>
      </w:r>
    </w:p>
    <w:p>
      <w:pPr>
        <w:spacing w:after="200" w:line="300"/>
        <w:jc w:val="both"/>
      </w:pPr>
      <w:r>
        <w:rPr>
          <w:rFonts w:ascii="Palatino Linotype" w:cs="Palatino Linotype" w:eastAsia="Palatino Linotype" w:hAnsi="Palatino Linotype"/>
          <w:b w:val="false"/>
          <w:bCs w:val="false"/>
          <w:i w:val="false"/>
          <w:iCs w:val="false"/>
          <w:sz w:val="22"/>
          <w:szCs w:val="22"/>
        </w:rPr>
        <w:t xml:space="preserve">Phase Engineering identifies the phaset as its foundational deployment unit: a point of the Phase Configuration Manifold M_Φ with frozen coherence amplitude and trivial topological sector, at which the phasefunction Φ = (A, θ, Ξ) reduces to an ordinary two-level system (Section 5). The phaset is what this paper's quantization (Section 5) and renormalization-group treatment (Section 6) act on directly; it is the substrate-side unit of the Phase Physics deployment programme.</w:t>
      </w:r>
    </w:p>
    <w:p>
      <w:pPr>
        <w:spacing w:after="200" w:line="300"/>
        <w:jc w:val="both"/>
      </w:pPr>
      <w:r>
        <w:rPr>
          <w:rFonts w:ascii="Palatino Linotype" w:cs="Palatino Linotype" w:eastAsia="Palatino Linotype" w:hAnsi="Palatino Linotype"/>
          <w:b w:val="false"/>
          <w:bCs w:val="false"/>
          <w:i w:val="false"/>
          <w:iCs w:val="false"/>
          <w:sz w:val="22"/>
          <w:szCs w:val="22"/>
        </w:rPr>
        <w:t xml:space="preserve">Framet is the companion unit on the description side. Relativity Mechanics identifies physical states with orbits of a description space under an admissibility group, and treats any single fixed local frame — a tetrad, a gauge section, a choice of reference system — as descriptive content rather than physical content in its own right. A framet, by direct analogy with the phaset, is the minimal such unit: one local admissible-description choice, fixed relative to a given phaset, whose sole role is to supply the frame relative to which that phaset's invariant content — its amplitude, phase, and topological charge — is read off.</w:t>
      </w:r>
    </w:p>
    <w:p>
      <w:pPr>
        <w:spacing w:after="200" w:line="300"/>
        <w:jc w:val="both"/>
      </w:pPr>
      <w:r>
        <w:rPr>
          <w:rFonts w:ascii="Palatino Linotype" w:cs="Palatino Linotype" w:eastAsia="Palatino Linotype" w:hAnsi="Palatino Linotype"/>
          <w:b w:val="false"/>
          <w:bCs w:val="false"/>
          <w:i w:val="false"/>
          <w:iCs w:val="false"/>
          <w:sz w:val="22"/>
          <w:szCs w:val="22"/>
        </w:rPr>
        <w:t xml:space="preserve">Neither unit is physical in isolation. A phaset without a framet is an orbit with no chosen representative; a framet without a phaset is a section with nothing to section. Only the pair, and the invariant relations extractable from it, constitutes a deployable unit of Phase Physics — the same structure Relativity Mechanics requires of any orbit and any section of it. This suggests the natural extension of the open problem in Section 10: the path-integral measure sought there is a measure over histories of phasets, and incorporating framets means matching that measure to the admissibility group's own quantization routes rather than treating framets as an independently defined track. Their full joint formalization is left to dedicated future work.</w:t>
      </w:r>
    </w:p>
    <w:p>
      <w:pPr>
        <w:pStyle w:val="Heading1"/>
        <w:pBdr>
          <w:bottom w:val="single" w:color="B08D57" w:sz="8" w:space="4"/>
        </w:pBdr>
        <w:spacing w:after="240" w:before="480"/>
      </w:pPr>
      <w:r>
        <w:rPr>
          <w:rFonts w:ascii="Arial" w:cs="Arial" w:eastAsia="Arial" w:hAnsi="Arial"/>
          <w:b/>
          <w:bCs/>
          <w:color w:val="0B1F3A"/>
          <w:sz w:val="30"/>
          <w:szCs w:val="30"/>
        </w:rPr>
        <w:t xml:space="preserve">10. The Central Open Problem</w:t>
      </w:r>
    </w:p>
    <w:p>
      <w:pPr>
        <w:spacing w:after="200" w:line="300"/>
        <w:jc w:val="both"/>
      </w:pPr>
      <w:r>
        <w:rPr>
          <w:rFonts w:ascii="Palatino Linotype" w:cs="Palatino Linotype" w:eastAsia="Palatino Linotype" w:hAnsi="Palatino Linotype"/>
          <w:b w:val="false"/>
          <w:bCs w:val="false"/>
          <w:i w:val="false"/>
          <w:iCs w:val="false"/>
          <w:sz w:val="22"/>
          <w:szCs w:val="22"/>
        </w:rPr>
        <w:t xml:space="preserve">Every element of the construction above — the action of Section 3, the quantization of Section 5, the renormalization-group flow of Section 6 — presupposes a well-defined way of summing over admissible substrate histories. Stated precisely: the central open problem of Phase Field Theory is the construction of a consistent path-integral measure over admissible update orderings, one that (i) reduces to the ordinary field-theory path-integral measure in the trivial-sector, frozen-amplitude limit where the phaset becomes an ordinary qubit; (ii) respects the No-Closed-Phase-Loop constraint of Section 4 at the level of the sum over histories rather than only at the level of individual configurations; and (iii) is compatible with the cluster-algebra structure Axiom 6 imposes on the linked charge lattice, ideally recovering that structure as the fixed-point limit of the renormalization-group flow developed in Section 6.</w:t>
      </w:r>
    </w:p>
    <w:p>
      <w:pPr>
        <w:spacing w:after="200" w:line="300"/>
        <w:jc w:val="both"/>
      </w:pPr>
      <w:r>
        <w:rPr>
          <w:rFonts w:ascii="Palatino Linotype" w:cs="Palatino Linotype" w:eastAsia="Palatino Linotype" w:hAnsi="Palatino Linotype"/>
          <w:b w:val="false"/>
          <w:bCs w:val="false"/>
          <w:i w:val="false"/>
          <w:iCs w:val="false"/>
          <w:sz w:val="22"/>
          <w:szCs w:val="22"/>
        </w:rPr>
        <w:t xml:space="preserve">No claim is made here that such a measure exists in closed form. The problem is stated at this level of precision because it is the single technical result that would convert Phase Field Theory from a formal action-level construction into a theory with a well-defined path-integral quantization — the same status that distinguishes, in any saddle of any phase diagram, an effective Lagrangian from a completed quantum field theory.</w:t>
      </w:r>
    </w:p>
    <w:p>
      <w:pPr>
        <w:pStyle w:val="Heading1"/>
        <w:pBdr>
          <w:bottom w:val="single" w:color="B08D57" w:sz="8" w:space="4"/>
        </w:pBdr>
        <w:spacing w:after="240" w:before="480"/>
      </w:pPr>
      <w:r>
        <w:rPr>
          <w:rFonts w:ascii="Arial" w:cs="Arial" w:eastAsia="Arial" w:hAnsi="Arial"/>
          <w:b/>
          <w:bCs/>
          <w:color w:val="0B1F3A"/>
          <w:sz w:val="30"/>
          <w:szCs w:val="30"/>
        </w:rPr>
        <w:t xml:space="preserve">11. Conclusion</w:t>
      </w:r>
    </w:p>
    <w:p>
      <w:pPr>
        <w:spacing w:after="200" w:line="300"/>
        <w:jc w:val="both"/>
      </w:pPr>
      <w:r>
        <w:rPr>
          <w:rFonts w:ascii="Palatino Linotype" w:cs="Palatino Linotype" w:eastAsia="Palatino Linotype" w:hAnsi="Palatino Linotype"/>
          <w:b w:val="false"/>
          <w:bCs w:val="false"/>
          <w:i w:val="false"/>
          <w:iCs w:val="false"/>
          <w:sz w:val="22"/>
          <w:szCs w:val="22"/>
        </w:rPr>
        <w:t xml:space="preserve">Phase Field Theory supplies the phase substrate saddle of Phase Physics with an action, a symmetry structure, a configuration space, a renormalization-group treatment of its admissibility constraints, and a set of quasiparticle correspondences — the standard technical apparatus expected of a field theory occupying a well-identified saddle in a phase diagram. It embeds within Phase Theory's own axiomatic structure by identifying Axiom 6's Combinatorial Rigidity result as the combinatorial target its renormalization-group fixed points would need to reproduce, and it states, rather than resolves, the single problem — a consistent path-integral measure over admissible update orderings — whose solution would complete its quantization. Everything else in the Phase Physics programme, including the deployment tracks named in Section 9, is intended to build on this foundation without needing to re-derive it independently.</w:t>
      </w:r>
    </w:p>
    <w:p>
      <w:r>
        <w:br w:type="page"/>
      </w:r>
    </w:p>
    <w:p>
      <w:pPr>
        <w:pStyle w:val="Heading1"/>
        <w:pBdr>
          <w:bottom w:val="single" w:color="B08D57" w:sz="8" w:space="4"/>
        </w:pBdr>
        <w:spacing w:after="240" w:before="480"/>
      </w:pPr>
      <w:r>
        <w:rPr>
          <w:rFonts w:ascii="Arial" w:cs="Arial" w:eastAsia="Arial" w:hAnsi="Arial"/>
          <w:b/>
          <w:bCs/>
          <w:color w:val="0B1F3A"/>
          <w:sz w:val="30"/>
          <w:szCs w:val="30"/>
        </w:rPr>
        <w:t xml:space="preserve">Selected References</w:t>
      </w:r>
    </w:p>
    <w:p>
      <w:pPr>
        <w:spacing w:after="120" w:line="276"/>
        <w:ind w:left="360" w:hanging="360"/>
      </w:pPr>
      <w:r>
        <w:rPr>
          <w:rFonts w:ascii="Palatino Linotype" w:cs="Palatino Linotype" w:eastAsia="Palatino Linotype" w:hAnsi="Palatino Linotype"/>
          <w:sz w:val="20"/>
          <w:szCs w:val="20"/>
        </w:rPr>
        <w:t xml:space="preserve">A. D. Sakharov, "Vacuum Quantum Fluctuations in Curved Space and the Theory of Gravitation," Soviet Physics Doklady 12, 1040 (1968).</w:t>
      </w:r>
    </w:p>
    <w:p>
      <w:pPr>
        <w:spacing w:after="120" w:line="276"/>
        <w:ind w:left="360" w:hanging="360"/>
      </w:pPr>
      <w:r>
        <w:rPr>
          <w:rFonts w:ascii="Palatino Linotype" w:cs="Palatino Linotype" w:eastAsia="Palatino Linotype" w:hAnsi="Palatino Linotype"/>
          <w:sz w:val="20"/>
          <w:szCs w:val="20"/>
        </w:rPr>
        <w:t xml:space="preserve">S. Coleman, "Q-Balls," Nuclear Physics B 262, 263 (1985).</w:t>
      </w:r>
    </w:p>
    <w:p>
      <w:pPr>
        <w:spacing w:after="120" w:line="276"/>
        <w:ind w:left="360" w:hanging="360"/>
      </w:pPr>
      <w:r>
        <w:rPr>
          <w:rFonts w:ascii="Palatino Linotype" w:cs="Palatino Linotype" w:eastAsia="Palatino Linotype" w:hAnsi="Palatino Linotype"/>
          <w:sz w:val="20"/>
          <w:szCs w:val="20"/>
        </w:rPr>
        <w:t xml:space="preserve">N. Manton and P. Sutcliffe, Topological Solitons (Cambridge University Press, 2004).</w:t>
      </w:r>
    </w:p>
    <w:p>
      <w:pPr>
        <w:spacing w:after="120" w:line="276"/>
        <w:ind w:left="360" w:hanging="360"/>
      </w:pPr>
      <w:r>
        <w:rPr>
          <w:rFonts w:ascii="Palatino Linotype" w:cs="Palatino Linotype" w:eastAsia="Palatino Linotype" w:hAnsi="Palatino Linotype"/>
          <w:sz w:val="20"/>
          <w:szCs w:val="20"/>
        </w:rPr>
        <w:t xml:space="preserve">K. G. Wilson and J. Kogut, "The Renormalization Group and the ε Expansion," Physics Reports 12, 75 (1974).</w:t>
      </w:r>
    </w:p>
    <w:p>
      <w:pPr>
        <w:spacing w:after="120" w:line="276"/>
        <w:ind w:left="360" w:hanging="360"/>
      </w:pPr>
      <w:r>
        <w:rPr>
          <w:rFonts w:ascii="Palatino Linotype" w:cs="Palatino Linotype" w:eastAsia="Palatino Linotype" w:hAnsi="Palatino Linotype"/>
          <w:sz w:val="20"/>
          <w:szCs w:val="20"/>
        </w:rPr>
        <w:t xml:space="preserve">S. Fomin and A. Zelevinsky, "Cluster Algebras I: Foundations," Journal of the American Mathematical Society 15, 497 (2002).</w:t>
      </w:r>
    </w:p>
    <w:p>
      <w:pPr>
        <w:spacing w:after="120" w:line="276"/>
        <w:ind w:left="360" w:hanging="360"/>
      </w:pPr>
      <w:r>
        <w:rPr>
          <w:rFonts w:ascii="Palatino Linotype" w:cs="Palatino Linotype" w:eastAsia="Palatino Linotype" w:hAnsi="Palatino Linotype"/>
          <w:sz w:val="20"/>
          <w:szCs w:val="20"/>
        </w:rPr>
        <w:t xml:space="preserve">C. Weedbrook et al., "Gaussian Quantum Information," Reviews of Modern Physics 84, 621 (2012).</w:t>
      </w:r>
    </w:p>
    <w:p>
      <w:pPr>
        <w:spacing w:after="120" w:line="276"/>
        <w:ind w:left="360" w:hanging="360"/>
      </w:pPr>
      <w:r>
        <w:rPr>
          <w:rFonts w:ascii="Palatino Linotype" w:cs="Palatino Linotype" w:eastAsia="Palatino Linotype" w:hAnsi="Palatino Linotype"/>
          <w:sz w:val="20"/>
          <w:szCs w:val="20"/>
        </w:rPr>
        <w:t xml:space="preserve">A. P. Lund et al., "Boson Sampling from a Gaussian State," Physical Review Letters 113, 100502 (2014).</w:t>
      </w:r>
    </w:p>
    <w:p>
      <w:pPr>
        <w:spacing w:after="120" w:line="276"/>
        <w:ind w:left="360" w:hanging="360"/>
      </w:pPr>
      <w:r>
        <w:rPr>
          <w:rFonts w:ascii="Palatino Linotype" w:cs="Palatino Linotype" w:eastAsia="Palatino Linotype" w:hAnsi="Palatino Linotype"/>
          <w:sz w:val="20"/>
          <w:szCs w:val="20"/>
        </w:rPr>
        <w:t xml:space="preserve">H. A. Jahn and E. Teller, "Stability of Polyatomic Molecules in Degenerate Electronic States," Proceedings of the Royal Society A 161, 220 (1937).</w:t>
      </w:r>
    </w:p>
    <w:p>
      <w:pPr>
        <w:spacing w:after="120" w:line="276"/>
        <w:ind w:left="360" w:hanging="360"/>
      </w:pPr>
      <w:r>
        <w:rPr>
          <w:rFonts w:ascii="Palatino Linotype" w:cs="Palatino Linotype" w:eastAsia="Palatino Linotype" w:hAnsi="Palatino Linotype"/>
          <w:sz w:val="20"/>
          <w:szCs w:val="20"/>
        </w:rPr>
        <w:t xml:space="preserve">D. P. DiVincenzo, "The Physical Implementation of Quantum Computation," Fortschritte der Physik 48, 771 (2000).</w:t>
      </w:r>
    </w:p>
    <w:p>
      <w:pPr>
        <w:spacing w:after="120" w:line="276"/>
        <w:ind w:left="360" w:hanging="360"/>
      </w:pPr>
      <w:r>
        <w:rPr>
          <w:rFonts w:ascii="Palatino Linotype" w:cs="Palatino Linotype" w:eastAsia="Palatino Linotype" w:hAnsi="Palatino Linotype"/>
          <w:sz w:val="20"/>
          <w:szCs w:val="20"/>
        </w:rPr>
        <w:t xml:space="preserve">N. Arkani-Hamed and J. Trnka, "The Amplituhedron," Journal of High Energy Physics 2014, 30 (2014).</w:t>
      </w:r>
    </w:p>
    <w:p>
      <w:pPr>
        <w:spacing w:after="120" w:line="276"/>
        <w:ind w:left="360" w:hanging="360"/>
      </w:pPr>
      <w:r>
        <w:rPr>
          <w:rFonts w:ascii="Palatino Linotype" w:cs="Palatino Linotype" w:eastAsia="Palatino Linotype" w:hAnsi="Palatino Linotype"/>
          <w:sz w:val="20"/>
          <w:szCs w:val="20"/>
        </w:rPr>
        <w:t xml:space="preserve">X.-G. Wen, Quantum Field Theory of Many-Body Systems (Oxford University Press, 2004).</w:t>
      </w:r>
    </w:p>
    <w:p>
      <w:pPr>
        <w:spacing w:after="120" w:line="276"/>
        <w:ind w:left="360" w:hanging="360"/>
      </w:pPr>
      <w:r>
        <w:rPr>
          <w:rFonts w:ascii="Palatino Linotype" w:cs="Palatino Linotype" w:eastAsia="Palatino Linotype" w:hAnsi="Palatino Linotype"/>
          <w:sz w:val="20"/>
          <w:szCs w:val="20"/>
        </w:rPr>
        <w:t xml:space="preserve">Dust LLC, "Relativity Mechanics: A Mathematical Theory of Invariant Physical Description," Phase Physics Series (2026).</w:t>
      </w:r>
    </w:p>
    <w:p>
      <w:pPr>
        <w:spacing w:after="120" w:line="276"/>
        <w:ind w:left="360" w:hanging="360"/>
      </w:pPr>
      <w:r>
        <w:rPr>
          <w:rFonts w:ascii="Palatino Linotype" w:cs="Palatino Linotype" w:eastAsia="Palatino Linotype" w:hAnsi="Palatino Linotype"/>
          <w:sz w:val="20"/>
          <w:szCs w:val="20"/>
        </w:rPr>
        <w:t xml:space="preserve">Dust LLC, "Relativity 47.0 — Phase / Landscape Relativity," Phase Physics Series (2026).</w:t>
      </w:r>
    </w:p>
    <w:p>
      <w:pPr>
        <w:spacing w:after="120" w:line="276"/>
        <w:ind w:left="360" w:hanging="360"/>
      </w:pPr>
      <w:r>
        <w:rPr>
          <w:rFonts w:ascii="Palatino Linotype" w:cs="Palatino Linotype" w:eastAsia="Palatino Linotype" w:hAnsi="Palatino Linotype"/>
          <w:sz w:val="20"/>
          <w:szCs w:val="20"/>
        </w:rPr>
        <w:t xml:space="preserve">Dust LLC, "Phase Mechanics: The Dynamical Sub-Theory of Phase Theory," PM-DECL-001, Phase Physics Series (2026).</w:t>
      </w:r>
    </w:p>
    <w:p>
      <w:pPr>
        <w:spacing w:after="120" w:line="276"/>
        <w:ind w:left="360" w:hanging="360"/>
      </w:pPr>
      <w:r>
        <w:rPr>
          <w:rFonts w:ascii="Palatino Linotype" w:cs="Palatino Linotype" w:eastAsia="Palatino Linotype" w:hAnsi="Palatino Linotype"/>
          <w:sz w:val="20"/>
          <w:szCs w:val="20"/>
        </w:rPr>
        <w:t xml:space="preserve">Dust LLC, Technical Note PTN-01, "On the Non-Existence of a Universal Positive Geometry for Phase Theory," Phase Physics Series (2026).</w:t>
      </w:r>
    </w:p>
    <w:p>
      <w:pPr>
        <w:spacing w:after="120" w:line="276"/>
        <w:ind w:left="360" w:hanging="360"/>
      </w:pPr>
      <w:r>
        <w:rPr>
          <w:rFonts w:ascii="Palatino Linotype" w:cs="Palatino Linotype" w:eastAsia="Palatino Linotype" w:hAnsi="Palatino Linotype"/>
          <w:sz w:val="20"/>
          <w:szCs w:val="20"/>
        </w:rPr>
        <w:t xml:space="preserve">Dust LLC, Paper 51, "Axiom 6: Combinatorial Rigidity and the Cluster Structure of Topological Sectors," Phase Physics Series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D57" w:sz="6" w:space="4"/>
      </w:pBdr>
      <w:jc w:val="center"/>
    </w:pPr>
    <w:r>
      <w:rPr>
        <w:rFonts w:ascii="Arial" w:cs="Arial" w:eastAsia="Arial" w:hAnsi="Arial"/>
        <w:color w:val="666666"/>
        <w:sz w:val="16"/>
        <w:szCs w:val="16"/>
      </w:rPr>
      <w:t xml:space="preserve">Phase Field Theory — Preprint  ·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57" w:sz="6" w:space="4"/>
      </w:pBdr>
      <w:jc w:val="right"/>
    </w:pPr>
    <w:r>
      <w:rPr>
        <w:rFonts w:ascii="Arial" w:cs="Arial" w:eastAsia="Arial" w:hAnsi="Arial"/>
        <w:b/>
        <w:bCs/>
        <w:color w:val="0B1F3A"/>
        <w:spacing w:val="20"/>
        <w:sz w:val="16"/>
        <w:szCs w:val="16"/>
      </w:rPr>
      <w:t xml:space="preserve">DUST LLC  ·  PHASE PHYSICS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2026-08-07T23:36:39.227Z</dcterms:created>
  <dcterms:modified xsi:type="dcterms:W3CDTF">2026-08-07T23:36:39.228Z</dcterms:modified>
</cp:coreProperties>
</file>

<file path=docProps/custom.xml><?xml version="1.0" encoding="utf-8"?>
<Properties xmlns="http://schemas.openxmlformats.org/officeDocument/2006/custom-properties" xmlns:vt="http://schemas.openxmlformats.org/officeDocument/2006/docPropsVTypes"/>
</file>