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PM-10</w:t>
      </w:r>
    </w:p>
    <w:p>
      <w:pPr>
        <w:spacing w:after="240"/>
        <w:jc w:val="center"/>
      </w:pPr>
      <w:r>
        <w:rPr>
          <w:rFonts w:ascii="Arial" w:cs="Arial" w:eastAsia="Arial" w:hAnsi="Arial"/>
          <w:b/>
          <w:bCs/>
          <w:color w:val="1B2A4A"/>
          <w:sz w:val="28"/>
          <w:szCs w:val="28"/>
        </w:rPr>
        <w:t xml:space="preserve">Room-Temperature Magnon Bose–Einstein Condensates: A Driven/Free-Decay Duality Probe of the Phase Substrate</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July 26, 2026</w:t>
      </w:r>
    </w:p>
    <w:p>
      <w:pPr>
        <w:spacing w:after="300"/>
        <w:jc w:val="center"/>
      </w:pPr>
      <w:r>
        <w:rPr>
          <w:rFonts w:ascii="Arial" w:cs="Arial" w:eastAsia="Arial" w:hAnsi="Arial"/>
          <w:i/>
          <w:iCs/>
          <w:color w:val="666666"/>
          <w:sz w:val="16"/>
          <w:szCs w:val="16"/>
        </w:rPr>
        <w:t xml:space="preserve">Subject area: Phase Mechanics (PM series)  •  Keywords: phase substrate, magnon Bose–Einstein condensate, YIG, parametric pumping, magnon supercurrent, Brillouin light scattering,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Every quantum-coherent candidate addressed in this series requires either cryogenic cooling (PM-4, PM-5, most of PM-6 and PM-9) or picosecond-scale readout electronics (PM-8) to access. The magnon Bose–Einstein condensate, formed by parametrically pumped spin waves in yttrium iron garnet (YIG) thin films, requires neither: it condenses at room temperature and evolves on microsecond timescales resolvable with standard microwave and optical instrumentation. This note reviews the established phenomenology of room-temperature magnon condensation, magnon supercurrents, and the phase singularities observed in multi-component magnon condensates, and identifies a further distinctive feature not available to any other driven-dissipative candidate in this series: because the pump can be switched off on a timescale much faster than the condensate’s microsecond coherence lifetime, the same physical platform gives direct experimental access to both a driven-dissipative steady state and a subsequent, quasi-closed free-decay regime. This note proposes a correspondence to the Phase Mechanics phaset and specifies two falsifiable predictions — sub-Poissonian phase-singularity nucleation statistics, and a discontinuity in topological-sector correlation structure between the driven and free-decay regimes — both testable with standard time- and phase-resolved Brillouin light scattering on existing YIG platforms.</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PM-8 established exciton-polariton condensates as a driven-dissipative U(1) candidate but noted, as a structural limitation, that coherence in that system is always actively maintained against dissipation rather than passively preserved — there is no experimentally accessible regime in which a polariton condensate is simply left alone, because polariton lifetime is too short (picoseconds) for the pump to be switched off and the condensate’s subsequent free evolution to be resolved before it decays entirely. The magnon condensate does not share this limitation. Parametrically pumped magnons in YIG form a quasi-equilibrium Bose–Einstein condensate at room temperature, first demonstrated by Demokritov et al. in 2006, and the condensate’s coherence persists for hundreds of nanoseconds to microseconds after the pump is switched off — a timescale easily resolved by standard microwave switching and Brillouin light scattering (BLS) electronics. This gives a single experimental platform access to both a driven-dissipative steady state (pump on) and a quasi-closed free-decay regime (pump off), addressing directly a comparison PM-8 could not make.</w:t>
      </w:r>
    </w:p>
    <w:p>
      <w:pPr>
        <w:spacing w:after="200" w:line="276"/>
        <w:jc w:val="both"/>
      </w:pPr>
      <w:r>
        <w:rPr>
          <w:rFonts w:ascii="Palatino Linotype" w:cs="Palatino Linotype" w:eastAsia="Palatino Linotype" w:hAnsi="Palatino Linotype"/>
          <w:sz w:val="22"/>
          <w:szCs w:val="22"/>
        </w:rPr>
        <w:t xml:space="preserve">As with the skyrmion candidate of PM-7, a caveat is worth stating at the outset: magnon condensate dynamics at the level relevant to this note is well described by classical or semiclassical nonlinear wave theory — a dissipative Gross–Pitaevskii-type equation for the classical magnon condensate amplitude, not a quantum Hamiltonian evolution of a many-body wavefunction in the sense addressed for cold-atom BECs or Josephson junctions. Any correspondence proposed here inherits that classical character.</w:t>
      </w:r>
    </w:p>
    <w:p>
      <w:pPr>
        <w:pStyle w:val="Heading1"/>
        <w:pBdr>
          <w:bottom w:val="single" w:color="B8922B" w:sz="6" w:space="4"/>
        </w:pBdr>
        <w:spacing w:after="200" w:before="400"/>
      </w:pPr>
      <w:r>
        <w:rPr>
          <w:rFonts w:ascii="Arial" w:cs="Arial" w:eastAsia="Arial" w:hAnsi="Arial"/>
          <w:b/>
          <w:bCs/>
          <w:color w:val="1B2A4A"/>
          <w:sz w:val="26"/>
          <w:szCs w:val="26"/>
        </w:rPr>
        <w:t xml:space="preserve">II. Room-Temperature Magnon Condensation: Established Phenomenology</w:t>
      </w:r>
    </w:p>
    <w:p>
      <w:pPr>
        <w:spacing w:after="200" w:line="276"/>
        <w:jc w:val="both"/>
      </w:pPr>
      <w:r>
        <w:rPr>
          <w:rFonts w:ascii="Palatino Linotype" w:cs="Palatino Linotype" w:eastAsia="Palatino Linotype" w:hAnsi="Palatino Linotype"/>
          <w:sz w:val="22"/>
          <w:szCs w:val="22"/>
        </w:rPr>
        <w:t xml:space="preserve">Magnons — the bosonic quanta of spin-wave excitations in a magnetically ordered material — do not individually conserve number under ordinary conditions; magnon–magnon and magnon–phonon scattering processes readily change magnon number. Under parametric pumping (microwave radiation applied at twice the frequency of the target magnon mode, driving pairwise magnon creation via parallel pumping), a sufficiently dense magnon gas thermalizes among itself via number-conserving scattering processes faster than it loses magnons to number-non-conserving relaxation, producing a quasi-equilibrium magnon gas with a well-defined, quasi-conserved chemical potential. Demokritov et al. demonstrated in 2006 that this quasi-equilibrium magnon gas in an in-plane magnetized YIG film condenses into the lowest-energy state of the magnon dispersion, observed directly via Brillouin light scattering as a sharp narrowing of the magnon spectrum in both frequency and wavevector — the magnon analogue of the momentum-distribution narrowing used to identify condensation in cold-atom BECs. Because the relevant dispersion minimum in an in-plane magnetized YIG film occurs at a finite wavevector (set by the dipolar interaction), rather than at zero wavevector, this is often a two-fold-degenerate condensation, into either of two symmetric finite-momentum minima — addressed further in Section IV.</w:t>
      </w:r>
    </w:p>
    <w:p>
      <w:pPr>
        <w:pStyle w:val="Heading1"/>
        <w:pBdr>
          <w:bottom w:val="single" w:color="B8922B" w:sz="6" w:space="4"/>
        </w:pBdr>
        <w:spacing w:after="200" w:before="400"/>
      </w:pPr>
      <w:r>
        <w:rPr>
          <w:rFonts w:ascii="Arial" w:cs="Arial" w:eastAsia="Arial" w:hAnsi="Arial"/>
          <w:b/>
          <w:bCs/>
          <w:color w:val="1B2A4A"/>
          <w:sz w:val="26"/>
          <w:szCs w:val="26"/>
        </w:rPr>
        <w:t xml:space="preserve">III. Magnon Supercurrents</w:t>
      </w:r>
    </w:p>
    <w:p>
      <w:pPr>
        <w:spacing w:after="200" w:line="276"/>
        <w:jc w:val="both"/>
      </w:pPr>
      <w:r>
        <w:rPr>
          <w:rFonts w:ascii="Palatino Linotype" w:cs="Palatino Linotype" w:eastAsia="Palatino Linotype" w:hAnsi="Palatino Linotype"/>
          <w:sz w:val="22"/>
          <w:szCs w:val="22"/>
        </w:rPr>
        <w:t xml:space="preserve">A spatially varying magnon condensate phase drives a dissipationless magnon supercurrent, directly analogous to the phase-gradient-driven supercurrent of a superconductor or superfluid. Bozhko et al. demonstrated this directly in 2016, using spatially resolved Brillouin light scattering to map the redistribution of magnon density following local, spatially confined pumping, observing transport consistent with a phase-gradient-driven supercurrent extending well beyond the directly pumped region — a genuine, room-temperature realization of dissipationless phase-coherent transport in a classical-order-parameter system.</w:t>
      </w:r>
    </w:p>
    <w:p>
      <w:pPr>
        <w:pStyle w:val="Heading1"/>
        <w:pBdr>
          <w:bottom w:val="single" w:color="B8922B" w:sz="6" w:space="4"/>
        </w:pBdr>
        <w:spacing w:after="200" w:before="400"/>
      </w:pPr>
      <w:r>
        <w:rPr>
          <w:rFonts w:ascii="Arial" w:cs="Arial" w:eastAsia="Arial" w:hAnsi="Arial"/>
          <w:b/>
          <w:bCs/>
          <w:color w:val="1B2A4A"/>
          <w:sz w:val="26"/>
          <w:szCs w:val="26"/>
        </w:rPr>
        <w:t xml:space="preserve">IV. Multi-Component Condensation and Phase Singularities</w:t>
      </w:r>
    </w:p>
    <w:p>
      <w:pPr>
        <w:spacing w:after="200" w:line="276"/>
        <w:jc w:val="both"/>
      </w:pPr>
      <w:r>
        <w:rPr>
          <w:rFonts w:ascii="Palatino Linotype" w:cs="Palatino Linotype" w:eastAsia="Palatino Linotype" w:hAnsi="Palatino Linotype"/>
          <w:sz w:val="22"/>
          <w:szCs w:val="22"/>
        </w:rPr>
        <w:t xml:space="preserve">Because the YIG magnon dispersion in the relevant geometry has two symmetric minima at nonzero wavevector, the condensate can occupy both simultaneously, forming an effectively two-component condensate. Nowik-Boltyk et al. showed in 2012 that this two-component condensate develops a spatially non-uniform ground state, with a standing-wave-like density modulation and phase singularities — vortex-like topological defects in the relative phase between the two components — observed directly via spatially and phase-resolved Brillouin light scattering imaging. This is the magnon candidate’s native topological object, structurally analogous to the vortex–antivortex structures addressed for cold-atom and polariton BECs in PM-6 and PM-8, but arising from the two-component structure of the magnon dispersion itself rather than from an engineered soliton or driven flow instability.</w:t>
      </w:r>
    </w:p>
    <w:p>
      <w:pPr>
        <w:pStyle w:val="Heading1"/>
        <w:pBdr>
          <w:bottom w:val="single" w:color="B8922B" w:sz="6" w:space="4"/>
        </w:pBdr>
        <w:spacing w:after="200" w:before="400"/>
      </w:pPr>
      <w:r>
        <w:rPr>
          <w:rFonts w:ascii="Arial" w:cs="Arial" w:eastAsia="Arial" w:hAnsi="Arial"/>
          <w:b/>
          <w:bCs/>
          <w:color w:val="1B2A4A"/>
          <w:sz w:val="26"/>
          <w:szCs w:val="26"/>
        </w:rPr>
        <w:t xml:space="preserve">V. The Driven/Free-Decay Duality</w:t>
      </w:r>
    </w:p>
    <w:p>
      <w:pPr>
        <w:spacing w:after="200" w:line="276"/>
        <w:jc w:val="both"/>
      </w:pPr>
      <w:r>
        <w:rPr>
          <w:rFonts w:ascii="Palatino Linotype" w:cs="Palatino Linotype" w:eastAsia="Palatino Linotype" w:hAnsi="Palatino Linotype"/>
          <w:sz w:val="22"/>
          <w:szCs w:val="22"/>
        </w:rPr>
        <w:t xml:space="preserve">The feature distinguishing this candidate from every other driven-dissipative system in the series is directly experimental: microwave pump power can be switched off on a timescale of nanoseconds, far faster than the condensate’s coherence lifetime of hundreds of nanoseconds to microseconds, and the condensate’s subsequent evolution — no longer replenished by the pump, decaying only through the material’s intrinsic (comparatively slow, in YIG) magnetic damping — can be tracked in real time via time-resolved BLS. This gives direct experimental access to a regime intermediate between the fully driven-dissipative steady state addressed for polaritons in PM-8 and the fully closed evolution addressed for cold-atom BECs in PM-6, within a single sample and a single measurement run.</w:t>
      </w:r>
    </w:p>
    <w:p>
      <w:pPr>
        <w:pStyle w:val="Heading1"/>
        <w:pBdr>
          <w:bottom w:val="single" w:color="B8922B" w:sz="6" w:space="4"/>
        </w:pBdr>
        <w:spacing w:after="200" w:before="400"/>
      </w:pPr>
      <w:r>
        <w:rPr>
          <w:rFonts w:ascii="Arial" w:cs="Arial" w:eastAsia="Arial" w:hAnsi="Arial"/>
          <w:b/>
          <w:bCs/>
          <w:color w:val="1B2A4A"/>
          <w:sz w:val="26"/>
          <w:szCs w:val="26"/>
        </w:rPr>
        <w:t xml:space="preserve">VI.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identifies the classical magnon condensate amplitude ψ_m(r,t) = √n_m(r,t)·e^{iθ_m(r,t)} with the phaset’s coordinates as in PM-6 and PM-8: n_m with coherence amplitude and the relative phase winding between the two condensate components (Section IV) with the topological-sector coordinate. What is distinctive here is that the correspondence can be tested under two qualitatively different dynamical regimes within the same platform — driven-dissipative (pump on) and quasi-closed (pump off, free decay) — without changing sample, material, or measurement apparatus, isolating the dynamical-regime dependence of any observed phaset behavior from material-specific confounds that would otherwise require comparing across the different platforms of PM-6 and PM-8.</w:t>
      </w:r>
    </w:p>
    <w:p>
      <w:pPr>
        <w:pStyle w:val="Heading1"/>
        <w:pBdr>
          <w:bottom w:val="single" w:color="B8922B" w:sz="6" w:space="4"/>
        </w:pBdr>
        <w:spacing w:after="200" w:before="400"/>
      </w:pPr>
      <w:r>
        <w:rPr>
          <w:rFonts w:ascii="Arial" w:cs="Arial" w:eastAsia="Arial" w:hAnsi="Arial"/>
          <w:b/>
          <w:bCs/>
          <w:color w:val="1B2A4A"/>
          <w:sz w:val="26"/>
          <w:szCs w:val="26"/>
        </w:rPr>
        <w:t xml:space="preserve">VII. Falsifiable Predictions</w:t>
      </w:r>
    </w:p>
    <w:p>
      <w:pPr>
        <w:pStyle w:val="Heading2"/>
        <w:spacing w:after="140" w:before="260"/>
      </w:pPr>
      <w:r>
        <w:rPr>
          <w:rFonts w:ascii="Arial" w:cs="Arial" w:eastAsia="Arial" w:hAnsi="Arial"/>
          <w:b/>
          <w:bCs/>
          <w:color w:val="1B2A4A"/>
          <w:sz w:val="22"/>
          <w:szCs w:val="22"/>
        </w:rPr>
        <w:t xml:space="preserve">Prediction 1 — Sub-Poissonian phase-singularity nucleation statistics</w:t>
      </w:r>
    </w:p>
    <w:p>
      <w:pPr>
        <w:spacing w:after="200" w:line="276"/>
        <w:jc w:val="both"/>
      </w:pPr>
      <w:r>
        <w:rPr>
          <w:rFonts w:ascii="Palatino Linotype" w:cs="Palatino Linotype" w:eastAsia="Palatino Linotype" w:hAnsi="Palatino Linotype"/>
          <w:sz w:val="22"/>
          <w:szCs w:val="22"/>
        </w:rPr>
        <w:t xml:space="preserve">Standard dissipative Gross–Pitaevskii-type magnon kinetic theory predicts that phase singularities in the two-component condensate nucleate via a thermally and pump-noise-seeded process, with successive nucleation events at fixed pump power and field geometry statistically close to independent (Poissonian), mirroring the null models tested in PM-6 through PM-9. The phaset correspondence predicts a measurable sub-Poissonian departure — a Fano factor below unity in the nucleation waiting-time distribution across repeated identical pump cycles — if the topological-sector coordinate carries a slowly relaxing correlation across successive nucleation events.</w:t>
      </w:r>
    </w:p>
    <w:p>
      <w:pPr>
        <w:pStyle w:val="Heading2"/>
        <w:spacing w:after="140" w:before="260"/>
      </w:pPr>
      <w:r>
        <w:rPr>
          <w:rFonts w:ascii="Arial" w:cs="Arial" w:eastAsia="Arial" w:hAnsi="Arial"/>
          <w:b/>
          <w:bCs/>
          <w:color w:val="1B2A4A"/>
          <w:sz w:val="22"/>
          <w:szCs w:val="22"/>
        </w:rPr>
        <w:t xml:space="preserve">Prediction 2 — Discontinuity in sector-coordinate correlation structure across the driven/free-decay transition</w:t>
      </w:r>
    </w:p>
    <w:p>
      <w:pPr>
        <w:spacing w:after="200" w:line="276"/>
        <w:jc w:val="both"/>
      </w:pPr>
      <w:r>
        <w:rPr>
          <w:rFonts w:ascii="Palatino Linotype" w:cs="Palatino Linotype" w:eastAsia="Palatino Linotype" w:hAnsi="Palatino Linotype"/>
          <w:sz w:val="22"/>
          <w:szCs w:val="22"/>
        </w:rPr>
        <w:t xml:space="preserve">Standard theory predicts a smooth, continuous connection between the driven-dissipative and free-decay regimes as pump power is switched off: the governing equation’s gain term simply vanishes, and the condensate amplitude decays according to the material’s intrinsic damping rate, with no qualitative change in the phase or topological-sector dynamics beyond an overall decaying envelope. The phaset correspondence predicts that the sector coordinate’s correlation structure — specifically, the degree of sub-Poissonian clustering identified in Prediction 1, if present — should show a measurable discontinuity at the moment of pump switch-off, distinct from a smooth envelope decay, reflecting a qualitative difference between actively regulated and passively decaying topological-sector dynamics.</w:t>
      </w:r>
    </w:p>
    <w:p>
      <w:pPr>
        <w:spacing w:after="200" w:line="276"/>
        <w:jc w:val="both"/>
      </w:pPr>
      <w:r>
        <w:rPr>
          <w:rFonts w:ascii="Palatino Linotype" w:cs="Palatino Linotype" w:eastAsia="Palatino Linotype" w:hAnsi="Palatino Linotype"/>
          <w:sz w:val="22"/>
          <w:szCs w:val="22"/>
        </w:rPr>
        <w:t xml:space="preserve">A null result on both — Poissonian phase-singularity nucleation in the driven regime, and a smooth, envelope-only change in sector-coordinate correlation structure across pump switch-off — would indicate that the driven/free-decay duality unique to this candidate does not expose additional phaset structure beyond what the polariton (PM-8) and cold-atom BEC (PM-6) candidates already test separately.</w:t>
      </w:r>
    </w:p>
    <w:p>
      <w:pPr>
        <w:pStyle w:val="Heading1"/>
        <w:pBdr>
          <w:bottom w:val="single" w:color="B8922B" w:sz="6" w:space="4"/>
        </w:pBdr>
        <w:spacing w:after="200" w:before="400"/>
      </w:pPr>
      <w:r>
        <w:rPr>
          <w:rFonts w:ascii="Arial" w:cs="Arial" w:eastAsia="Arial" w:hAnsi="Arial"/>
          <w:b/>
          <w:bCs/>
          <w:color w:val="1B2A4A"/>
          <w:sz w:val="26"/>
          <w:szCs w:val="26"/>
        </w:rPr>
        <w:t xml:space="preserve">VIII.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Platform: an in-plane magnetized YIG thin film under parallel parametric pumping at standard microwave frequencies, following the established Demokritov/Demidov group experimental configuration, at room temperature.</w:t>
      </w:r>
    </w:p>
    <w:p>
      <w:pPr>
        <w:pStyle w:val="ListParagraph"/>
        <w:numPr>
          <w:ilvl w:val="0"/>
          <w:numId w:val="2"/>
        </w:numPr>
        <w:spacing w:after="120"/>
      </w:pPr>
      <w:r>
        <w:rPr>
          <w:rFonts w:ascii="Palatino Linotype" w:cs="Palatino Linotype" w:eastAsia="Palatino Linotype" w:hAnsi="Palatino Linotype"/>
          <w:sz w:val="22"/>
          <w:szCs w:val="22"/>
        </w:rPr>
        <w:t xml:space="preserve">Phase-singularity statistics: spatially and phase-resolved Brillouin light scattering imaging of the two-component condensate across many repeated identical pump cycles, to detect and time individual phase-singularity nucleation events for Fano-factor analysis against a Poissonian null, following the Nowik-Boltyk et al. imaging protocol.</w:t>
      </w:r>
    </w:p>
    <w:p>
      <w:pPr>
        <w:pStyle w:val="ListParagraph"/>
        <w:numPr>
          <w:ilvl w:val="0"/>
          <w:numId w:val="2"/>
        </w:numPr>
        <w:spacing w:after="120"/>
      </w:pPr>
      <w:r>
        <w:rPr>
          <w:rFonts w:ascii="Palatino Linotype" w:cs="Palatino Linotype" w:eastAsia="Palatino Linotype" w:hAnsi="Palatino Linotype"/>
          <w:sz w:val="22"/>
          <w:szCs w:val="22"/>
        </w:rPr>
        <w:t xml:space="preserve">Driven/free-decay comparison: fast microwave pump switch-off (nanosecond risetime) synchronized with continuous time-resolved BLS acquisition spanning the pump-on steady state and the subsequent free-decay period, repeated across many identical cycles to build sector-coordinate correlation statistics separately for each regime.</w:t>
      </w:r>
    </w:p>
    <w:p>
      <w:pPr>
        <w:pStyle w:val="ListParagraph"/>
        <w:numPr>
          <w:ilvl w:val="0"/>
          <w:numId w:val="2"/>
        </w:numPr>
        <w:spacing w:after="120"/>
      </w:pPr>
      <w:r>
        <w:rPr>
          <w:rFonts w:ascii="Palatino Linotype" w:cs="Palatino Linotype" w:eastAsia="Palatino Linotype" w:hAnsi="Palatino Linotype"/>
          <w:sz w:val="22"/>
          <w:szCs w:val="22"/>
        </w:rPr>
        <w:t xml:space="preserve">Supercurrent cross-check: spatially resolved BLS density mapping (following the Bozhko et al. protocol) under locally confined pumping, to confirm the sample and measurement chain reproduce the established magnon supercurrent signature before proceeding to the topological measurements.</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protocols at pump power below the condensation threshold, where no coherent condensate forms, to confirm that any observed sub-Poissonian clustering or driven/free-decay discontinuity is tied to genuine condensate dynamics rather than pump-electronics or detection-chain artifacts.</w:t>
      </w:r>
    </w:p>
    <w:p>
      <w:pPr>
        <w:pStyle w:val="Heading1"/>
        <w:pBdr>
          <w:bottom w:val="single" w:color="B8922B" w:sz="6" w:space="4"/>
        </w:pBdr>
        <w:spacing w:after="200" w:before="400"/>
      </w:pPr>
      <w:r>
        <w:rPr>
          <w:rFonts w:ascii="Arial" w:cs="Arial" w:eastAsia="Arial" w:hAnsi="Arial"/>
          <w:b/>
          <w:bCs/>
          <w:color w:val="1B2A4A"/>
          <w:sz w:val="26"/>
          <w:szCs w:val="26"/>
        </w:rPr>
        <w:t xml:space="preserve">IX. Relation to the Phase DiVincenzo Criteria</w:t>
      </w:r>
    </w:p>
    <w:p>
      <w:pPr>
        <w:spacing w:after="200" w:line="276"/>
        <w:jc w:val="both"/>
      </w:pPr>
      <w:r>
        <w:rPr>
          <w:rFonts w:ascii="Palatino Linotype" w:cs="Palatino Linotype" w:eastAsia="Palatino Linotype" w:hAnsi="Palatino Linotype"/>
          <w:sz w:val="22"/>
          <w:szCs w:val="22"/>
        </w:rPr>
        <w:t xml:space="preserve">Magnon condensates are comparatively strong against the PDC criteria concerned with practical scalability: room-temperature operation and an active magnonics engineering literature — spin-wave logic gates, magnonic circuits, and engineered potential landscapes for confining and routing magnon condensates — already demonstrate a mature toolkit for building multi-element magnon devices without cryogenic infrastructure. They are weaker against criteria concerned with coherent coupling between individually addressed, spatially separated phasets: while magnon condensates can be confined to engineered potential traps, no existing experiment demonstrates controlled coherent coupling or entanglement between two independently addressed magnon condensates in the sense the Josephson-junction or cold-atom candidates (PM-4, PM-6) already do, and the classical character of the governing dynamics noted in Section I means several PDC criteria may not apply in their originally intended quantum-coherence sense, as was also true for the skyrmion candidate of PM-7.</w:t>
      </w:r>
    </w:p>
    <w:p>
      <w:pPr>
        <w:pStyle w:val="Heading1"/>
        <w:pBdr>
          <w:bottom w:val="single" w:color="B8922B" w:sz="6" w:space="4"/>
        </w:pBdr>
        <w:spacing w:after="200" w:before="400"/>
      </w:pPr>
      <w:r>
        <w:rPr>
          <w:rFonts w:ascii="Arial" w:cs="Arial" w:eastAsia="Arial" w:hAnsi="Arial"/>
          <w:b/>
          <w:bCs/>
          <w:color w:val="1B2A4A"/>
          <w:sz w:val="26"/>
          <w:szCs w:val="26"/>
        </w:rPr>
        <w:t xml:space="preserve">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carries no implication for any other candidate in this series and rests, as stated at the outset, on a classical rather than quantum treatment of the condensate order parameter. It is falsified on its own terms if the phase-singularity nucleation statistics in Prediction 1 are consistent with a Poissonian process across the tested pump conditions, and if the sector-coordinate correlation structure in Prediction 2 shows only a smooth, envelope-consistent change across pump switch-off with no resolvable discontinuity. Because the underlying dissipative magnon kinetic theory this note is tested against is independently well-established on this platform, a null result on both predictions would indicate that the driven/free-decay duality unique to this candidate, however experimentally convenient, does not by itself expose additional phaset structure.</w:t>
      </w:r>
    </w:p>
    <w:p>
      <w:pPr>
        <w:pStyle w:val="Heading1"/>
        <w:pBdr>
          <w:bottom w:val="single" w:color="B8922B" w:sz="6" w:space="4"/>
        </w:pBdr>
        <w:spacing w:after="200" w:before="400"/>
      </w:pPr>
      <w:r>
        <w:rPr>
          <w:rFonts w:ascii="Arial" w:cs="Arial" w:eastAsia="Arial" w:hAnsi="Arial"/>
          <w:b/>
          <w:bCs/>
          <w:color w:val="1B2A4A"/>
          <w:sz w:val="26"/>
          <w:szCs w:val="26"/>
        </w:rPr>
        <w:t xml:space="preserve">XI. Conclusion</w:t>
      </w:r>
    </w:p>
    <w:p>
      <w:pPr>
        <w:spacing w:after="200" w:line="276"/>
        <w:jc w:val="both"/>
      </w:pPr>
      <w:r>
        <w:rPr>
          <w:rFonts w:ascii="Palatino Linotype" w:cs="Palatino Linotype" w:eastAsia="Palatino Linotype" w:hAnsi="Palatino Linotype"/>
          <w:sz w:val="22"/>
          <w:szCs w:val="22"/>
        </w:rPr>
        <w:t xml:space="preserve">Room-temperature magnon Bose–Einstein condensates in YIG combine practical accessibility — no cryostat, microsecond rather than picosecond timescales — with a distinctive experimental capability unavailable to any other driven-dissipative candidate in this series: direct, same-sample comparison between a driven-dissipative steady state and a quasi-closed free-decay regime. This note has reviewed the established phenomenology of magnon condensation, supercurrents, and multi-component phase singularities, proposed a correspondence to the Phase Mechanics phaset, and specified two falsifiable predictions exploiting the driven/free-decay duality directly — predictions unavailable to the otherwise similar polariton candidate of PM-8 owing to its picosecond lifetime. Together with PM-2 through PM-9, this note extends the series’ survey of terrestrial phaset candidates to its most experimentally accessible platform to date.</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Demokritov, S. O. et al. “Bose–Einstein condensation of quasi-equilibrium magnons at room temperature under pumping.” Nature 443, 430 (2006).</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Demidov, V. E. et al. “Magnon kinetics and Bose–Einstein condensation studied in phase space.” Physical Review Letters 101, 257201 (2008).</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Nowik-Boltyk, P., Dzyapko, O., Demidov, V. E., Berloff, N. G., and Demokritov, S. O. “Spatially non-uniform ground state and quantized vortices in a two-component Bose–Einstein condensate of magnons.” Scientific Reports 2, 482 (2012).</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Bozhko, D. A. et al. “Supercurrent in a room-temperature Bose–Einstein magnon condensate.” Nature Physics 12, 1057 (2016).</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Serga, A. A., Chumak, A. V., and Hillebrands, B. “YIG magnonics.” Journal of Physics D: Applied Physics 43, 264002 (2010).</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Chumak, A. V., Vasyuchka, V. I., Serga, A. A., and Hillebrands, B. “Magnon spintronics.” Nature Physics 11, 453 (2015).</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through PM-9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PM-10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2026-08-01T18:45:45.669Z</dcterms:created>
  <dcterms:modified xsi:type="dcterms:W3CDTF">2026-08-01T18:45:45.717Z</dcterms:modified>
</cp:coreProperties>
</file>

<file path=docProps/custom.xml><?xml version="1.0" encoding="utf-8"?>
<Properties xmlns="http://schemas.openxmlformats.org/officeDocument/2006/custom-properties" xmlns:vt="http://schemas.openxmlformats.org/officeDocument/2006/docPropsVTypes"/>
</file>