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B8912F"/>
          <w:sz w:val="18"/>
          <w:szCs w:val="18"/>
        </w:rPr>
        <w:t xml:space="preserve">PHASE THEORY · PAPER 51</w:t>
      </w:r>
    </w:p>
    <w:p>
      <w:pPr>
        <w:spacing w:after="120"/>
      </w:pPr>
      <w:r>
        <w:rPr>
          <w:rFonts w:ascii="Arial" w:cs="Arial" w:eastAsia="Arial" w:hAnsi="Arial"/>
          <w:b/>
          <w:bCs/>
          <w:color w:val="0B1F3A"/>
          <w:sz w:val="32"/>
          <w:szCs w:val="32"/>
        </w:rPr>
        <w:t xml:space="preserve">Axiom 6: Combinatorial Rigidity and the Cluster Structure of Topological Sectors</w:t>
      </w:r>
    </w:p>
    <w:p>
      <w:pPr>
        <w:spacing w:after="60"/>
      </w:pPr>
      <w:r>
        <w:rPr>
          <w:rFonts w:ascii="Palatino Linotype" w:cs="Palatino Linotype" w:eastAsia="Palatino Linotype" w:hAnsi="Palatino Linotype"/>
          <w:i/>
          <w:iCs/>
          <w:color w:val="5A5A5A"/>
          <w:sz w:val="22"/>
          <w:szCs w:val="22"/>
        </w:rPr>
        <w:t xml:space="preserve">M. Brownlee, Dust LLC</w:t>
      </w:r>
    </w:p>
    <w:p>
      <w:pPr>
        <w:spacing w:after="300"/>
      </w:pPr>
      <w:r>
        <w:rPr>
          <w:rFonts w:ascii="Palatino Linotype" w:cs="Palatino Linotype" w:eastAsia="Palatino Linotype" w:hAnsi="Palatino Linotype"/>
          <w:color w:val="5A5A5A"/>
          <w:sz w:val="20"/>
          <w:szCs w:val="20"/>
        </w:rPr>
        <w:t xml:space="preserve">July 2026</w:t>
      </w:r>
    </w:p>
    <w:p>
      <w:pPr>
        <w:pStyle w:val="Heading2"/>
        <w:spacing w:after="120" w:before="260"/>
      </w:pPr>
      <w:r>
        <w:rPr>
          <w:rFonts w:ascii="Arial" w:cs="Arial" w:eastAsia="Arial" w:hAnsi="Arial"/>
          <w:b/>
          <w:bCs/>
          <w:color w:val="0B1F3A"/>
          <w:sz w:val="22"/>
          <w:szCs w:val="22"/>
        </w:rPr>
        <w:t xml:space="preserve">Abstract</w:t>
      </w:r>
    </w:p>
    <w:p>
      <w:pPr>
        <w:spacing w:after="160" w:line="276"/>
        <w:jc w:val="both"/>
      </w:pPr>
      <w:r>
        <w:rPr>
          <w:rFonts w:ascii="Palatino Linotype" w:cs="Palatino Linotype" w:eastAsia="Palatino Linotype" w:hAnsi="Palatino Linotype"/>
          <w:i w:val="false"/>
          <w:iCs w:val="false"/>
          <w:sz w:val="22"/>
          <w:szCs w:val="22"/>
        </w:rPr>
        <w:t xml:space="preserve">Technical Note PTN-01 established that Phase Theory, under Axioms 1–5, does not admit a universal positive-geometry construction: the Killing-form pairing on the unlinked topological charge lattice is block-diagonal across gauge factors, while physical factorization channels mix them, so the pairing's zero locus and the physical splitting locus diverge. This paper proposes and develops Axiom 6 (Combinatorial Rigidity), a structural addition positing that the poset of topological sectors carries a cluster-algebra structure, with the phase-inconsistency functional acting as a cluster Hamiltonian. We construct the linking-form exchange matrix on the extended (linked/braided) charge lattice, define the seed and mutation rules induced by defect reconnection, and show that the resulting cluster variables furnish exactly the missing rigidity: sign-coherent positivity regions whose boundaries coincide with reconnection loci by construction, restoring Conditions 1–4 of PTN-01 in the linked sector. We conjecture a cluster canonical form Ω_cl on the resulting positive geometry and identify its expected residues with MHQ-GBS amplitude channels. Axiom 6 is presented as a posit — justified by what it makes possible, not derived from Axioms 1–5 — in the manner that maximal supersymmetry was posited for planar 𝒭v=4 super Yang-Mills prior to the amplituhedron's discovery.</w:t>
      </w:r>
    </w:p>
    <w:p>
      <w:pPr>
        <w:pStyle w:val="Heading1"/>
        <w:pBdr>
          <w:bottom w:val="single" w:color="B8912F" w:sz="6" w:space="4"/>
        </w:pBdr>
        <w:spacing w:after="160" w:before="360"/>
      </w:pPr>
      <w:r>
        <w:rPr>
          <w:rFonts w:ascii="Arial" w:cs="Arial" w:eastAsia="Arial" w:hAnsi="Arial"/>
          <w:b/>
          <w:bCs/>
          <w:color w:val="0B1F3A"/>
          <w:sz w:val="26"/>
          <w:szCs w:val="26"/>
        </w:rPr>
        <w:t xml:space="preserve">1. Background and Motivation</w:t>
      </w:r>
    </w:p>
    <w:p>
      <w:pPr>
        <w:spacing w:after="160" w:line="276"/>
        <w:jc w:val="both"/>
      </w:pPr>
      <w:r>
        <w:rPr>
          <w:rFonts w:ascii="Palatino Linotype" w:cs="Palatino Linotype" w:eastAsia="Palatino Linotype" w:hAnsi="Palatino Linotype"/>
          <w:i w:val="false"/>
          <w:iCs w:val="false"/>
          <w:sz w:val="22"/>
          <w:szCs w:val="22"/>
        </w:rPr>
        <w:t xml:space="preserve">Phase Theory (Axioms 1–5) treats a continuous global phase substrate Φ as the sole ontological primitive, with spacetime geometry emergent via the phase-strain/Jacobson mechanism (Theorem 8.1) and matter realized as topological solitons classified by the homotopy invariants of the target T = U(1) × SU(2) × SU(3). PTN-01 asked whether physical observables built from these solitons — in particular the MHQ-GBS hafnian amplitudes and GBFC complexity invariants — could be obtained as canonical forms of a positive geometry on the topological charge lattice Λ, in the manner of the amplituhedron for planar 𝒭v=4 super Yang-Mills or the cosmological polytope for the wavefunction of the universe.</w:t>
      </w:r>
    </w:p>
    <w:p>
      <w:pPr>
        <w:spacing w:after="160" w:line="276"/>
        <w:jc w:val="both"/>
      </w:pPr>
      <w:r>
        <w:rPr>
          <w:rFonts w:ascii="Palatino Linotype" w:cs="Palatino Linotype" w:eastAsia="Palatino Linotype" w:hAnsi="Palatino Linotype"/>
          <w:i w:val="false"/>
          <w:iCs w:val="false"/>
          <w:sz w:val="22"/>
          <w:szCs w:val="22"/>
        </w:rPr>
        <w:t xml:space="preserve">The negative result traced the obstruction to a single structural gap: the Killing-form pairing ⟨·,·⟩_K on Λ is a kinematic object — fixed once T and the vacuum Φ₀ are fixed — while the physical factorization channels of the theory are dynamical, depending on V(Φ), the phase-stiffness profile away from vacuum, and the stochastic drive η. No known limit of Phase Theory (integrable, fixed-point, or otherwise) closes this gap. This paper takes the diagnosis at face value: if no dynamical limit supplies the missing rigidity, it must instead be posited as a new combinatorial constraint on the sector poset itself, independent of the specific dynamics realizing it.</w:t>
      </w:r>
    </w:p>
    <w:p>
      <w:pPr>
        <w:pStyle w:val="Heading1"/>
        <w:pBdr>
          <w:bottom w:val="single" w:color="B8912F" w:sz="6" w:space="4"/>
        </w:pBdr>
        <w:spacing w:after="160" w:before="360"/>
      </w:pPr>
      <w:r>
        <w:rPr>
          <w:rFonts w:ascii="Arial" w:cs="Arial" w:eastAsia="Arial" w:hAnsi="Arial"/>
          <w:b/>
          <w:bCs/>
          <w:color w:val="0B1F3A"/>
          <w:sz w:val="26"/>
          <w:szCs w:val="26"/>
        </w:rPr>
        <w:t xml:space="preserve">2. Statement of Axiom 6</w:t>
      </w:r>
    </w:p>
    <w:p>
      <w:pPr>
        <w:spacing w:after="160" w:line="276"/>
        <w:jc w:val="both"/>
      </w:pPr>
      <w:r>
        <w:rPr>
          <w:rFonts w:ascii="Palatino Linotype" w:cs="Palatino Linotype" w:eastAsia="Palatino Linotype" w:hAnsi="Palatino Linotype"/>
          <w:i/>
          <w:iCs/>
          <w:sz w:val="22"/>
          <w:szCs w:val="22"/>
        </w:rPr>
        <w:t xml:space="preserve">Axiom 6 (Combinatorial Rigidity). The poset (Σ, ≤) of topological sectors of Phase Theory — partially ordered by charge-vector inclusion, with σ ≤ σ′ when σ is a degeneration boundary of σ′ — admits a cluster algebra structure 𝒦(Λ, B) on the full (linked and unlinked) charge lattice Λ, with exchange matrix B given by the antisymmetric linking form on defect charges (Sec. 3), and the phase-inconsistency functional ρ(Φ, DΦ) restricted to each cluster is a cluster Hamiltonian: its extrema within a cluster correspond exactly to the stable configurations Theorem 3.1 identifies as particles.</w:t>
      </w:r>
    </w:p>
    <w:p>
      <w:pPr>
        <w:spacing w:after="160" w:line="276"/>
        <w:jc w:val="both"/>
      </w:pPr>
      <w:r>
        <w:rPr>
          <w:rFonts w:ascii="Palatino Linotype" w:cs="Palatino Linotype" w:eastAsia="Palatino Linotype" w:hAnsi="Palatino Linotype"/>
          <w:i w:val="false"/>
          <w:iCs w:val="false"/>
          <w:sz w:val="22"/>
          <w:szCs w:val="22"/>
        </w:rPr>
        <w:t xml:space="preserve">Three clauses follow immediately from this statement and are used throughout: (a) each seed of 𝒦(Λ, B) corresponds to a topological sector; (b) each mutation of the seed corresponds to a physically realizable reconnection move between defects; (c) the cluster variables, being Laurent polynomials positive on the totally positive part of the associated variety, supply the sign-coherent kinematic invariants that Axioms 1–5 alone could not produce.</w:t>
      </w:r>
    </w:p>
    <w:p>
      <w:pPr>
        <w:pStyle w:val="Heading1"/>
        <w:pBdr>
          <w:bottom w:val="single" w:color="B8912F" w:sz="6" w:space="4"/>
        </w:pBdr>
        <w:spacing w:after="160" w:before="360"/>
      </w:pPr>
      <w:r>
        <w:rPr>
          <w:rFonts w:ascii="Arial" w:cs="Arial" w:eastAsia="Arial" w:hAnsi="Arial"/>
          <w:b/>
          <w:bCs/>
          <w:color w:val="0B1F3A"/>
          <w:sz w:val="26"/>
          <w:szCs w:val="26"/>
        </w:rPr>
        <w:t xml:space="preserve">3. The Linking-Form Exchange Matrix</w:t>
      </w:r>
    </w:p>
    <w:p>
      <w:pPr>
        <w:spacing w:after="160" w:line="276"/>
        <w:jc w:val="both"/>
      </w:pPr>
      <w:r>
        <w:rPr>
          <w:rFonts w:ascii="Palatino Linotype" w:cs="Palatino Linotype" w:eastAsia="Palatino Linotype" w:hAnsi="Palatino Linotype"/>
          <w:i w:val="false"/>
          <w:iCs w:val="false"/>
          <w:sz w:val="22"/>
          <w:szCs w:val="22"/>
        </w:rPr>
        <w:t xml:space="preserve">PTN-01 found the cluster check inconclusive rather than negative: in the unlinked sector the candidate exchange matrix vanishes identically, since there is no linking to pair. Axiom 6 is stated over the extended lattice that includes linked and braided multi-defect configurations, where the antisymmetric linking number L(γᵢ, γⱼ) = −L(γⱼ, γᵢ) is already a well-defined topological invariant of the theory (Sec. IV.4 of the foundational preprint), though not previously organized as a matrix.</w:t>
      </w:r>
    </w:p>
    <w:p>
      <w:pPr>
        <w:spacing w:after="160" w:line="276"/>
        <w:jc w:val="both"/>
      </w:pPr>
      <w:r>
        <w:rPr>
          <w:rFonts w:ascii="Palatino Linotype" w:cs="Palatino Linotype" w:eastAsia="Palatino Linotype" w:hAnsi="Palatino Linotype"/>
          <w:i w:val="false"/>
          <w:iCs w:val="false"/>
          <w:sz w:val="22"/>
          <w:szCs w:val="22"/>
        </w:rPr>
        <w:t xml:space="preserve">For a configuration of N defects with charge vectors q₁, …, q_N ∈ Λ, define</w:t>
      </w:r>
    </w:p>
    <w:p>
      <w:pPr>
        <w:spacing w:after="160" w:before="80"/>
        <w:jc w:val="center"/>
      </w:pPr>
      <w:r>
        <w:rPr>
          <w:rFonts w:ascii="Cambria Math" w:cs="Cambria Math" w:eastAsia="Cambria Math" w:hAnsi="Cambria Math"/>
          <w:i/>
          <w:iCs/>
          <w:sz w:val="22"/>
          <w:szCs w:val="22"/>
        </w:rPr>
        <w:t xml:space="preserve">B_ij = L(γ_i, γ_j)      (i ≠ j),   B_ii = 0</w:t>
      </w:r>
    </w:p>
    <w:p>
      <w:pPr>
        <w:spacing w:after="160" w:line="276"/>
        <w:jc w:val="both"/>
      </w:pPr>
      <w:r>
        <w:rPr>
          <w:rFonts w:ascii="Palatino Linotype" w:cs="Palatino Linotype" w:eastAsia="Palatino Linotype" w:hAnsi="Palatino Linotype"/>
          <w:i w:val="false"/>
          <w:iCs w:val="false"/>
          <w:sz w:val="22"/>
          <w:szCs w:val="22"/>
        </w:rPr>
        <w:t xml:space="preserve">B is antisymmetric by construction, satisfying the defining requirement of a cluster exchange matrix. Its rank is the number of independent linked pairs in the configuration; for N mutually unlinked defects, B = 0 and the cluster algebra degenerates to its initial seed — recovering the trivial unlinked-sector result of PTN-01 as the B = 0 limit of the present construction, rather than as a separate case.</w:t>
      </w:r>
    </w:p>
    <w:p>
      <w:pPr>
        <w:spacing w:after="160" w:line="276"/>
        <w:jc w:val="both"/>
      </w:pPr>
      <w:r>
        <w:rPr>
          <w:rFonts w:ascii="Palatino Linotype" w:cs="Palatino Linotype" w:eastAsia="Palatino Linotype" w:hAnsi="Palatino Linotype"/>
          <w:i w:val="false"/>
          <w:iCs w:val="false"/>
          <w:sz w:val="22"/>
          <w:szCs w:val="22"/>
        </w:rPr>
        <w:t xml:space="preserve">The associated seed is the pair (x, B), where x = (x₁, …, x_N) are cluster variables assigned to the defects, initialized as x_i = q_i evaluated in some fixed coordinate system on Λ ⊗ ℝ. A mutation at index k replaces (x, B) with (x′, B′) via the standard exchange relation</w:t>
      </w:r>
    </w:p>
    <w:p>
      <w:pPr>
        <w:spacing w:after="160" w:before="80"/>
        <w:jc w:val="center"/>
      </w:pPr>
      <w:r>
        <w:rPr>
          <w:rFonts w:ascii="Cambria Math" w:cs="Cambria Math" w:eastAsia="Cambria Math" w:hAnsi="Cambria Math"/>
          <w:i/>
          <w:iCs/>
          <w:sz w:val="22"/>
          <w:szCs w:val="22"/>
        </w:rPr>
        <w:t xml:space="preserve">x_k x_k′ = ∏_{B_ik&gt;0} x_i^{B_ik} + ∏_{B_ik&lt;0} x_i^{-B_ik}</w:t>
      </w:r>
    </w:p>
    <w:p>
      <w:pPr>
        <w:spacing w:after="160" w:line="276"/>
        <w:jc w:val="both"/>
      </w:pPr>
      <w:r>
        <w:rPr>
          <w:rFonts w:ascii="Palatino Linotype" w:cs="Palatino Linotype" w:eastAsia="Palatino Linotype" w:hAnsi="Palatino Linotype"/>
          <w:i w:val="false"/>
          <w:iCs w:val="false"/>
          <w:sz w:val="22"/>
          <w:szCs w:val="22"/>
        </w:rPr>
        <w:t xml:space="preserve">with B′ obtained by the usual matrix mutation rule at k. Physically, mutation at k is proposed to correspond to a reconnection event at defect k: two linked defects exchanging strands, or a single defect splitting along a channel compatible with its linking partners. This is the clause that does the actual work of Axiom 6 — it is what makes the boundary structure combinatorially fixed rather than dependent on solving the field equations.</w:t>
      </w:r>
    </w:p>
    <w:p>
      <w:pPr>
        <w:pStyle w:val="Heading1"/>
        <w:pBdr>
          <w:bottom w:val="single" w:color="B8912F" w:sz="6" w:space="4"/>
        </w:pBdr>
        <w:spacing w:after="160" w:before="360"/>
      </w:pPr>
      <w:r>
        <w:rPr>
          <w:rFonts w:ascii="Arial" w:cs="Arial" w:eastAsia="Arial" w:hAnsi="Arial"/>
          <w:b/>
          <w:bCs/>
          <w:color w:val="0B1F3A"/>
          <w:sz w:val="26"/>
          <w:szCs w:val="26"/>
        </w:rPr>
        <w:t xml:space="preserve">4. Consequences: Conditions 1–4 Revisited</w:t>
      </w:r>
    </w:p>
    <w:p>
      <w:pPr>
        <w:spacing w:after="160" w:line="276"/>
        <w:jc w:val="both"/>
      </w:pPr>
      <w:r>
        <w:rPr>
          <w:rFonts w:ascii="Palatino Linotype" w:cs="Palatino Linotype" w:eastAsia="Palatino Linotype" w:hAnsi="Palatino Linotype"/>
          <w:i w:val="false"/>
          <w:iCs w:val="false"/>
          <w:sz w:val="22"/>
          <w:szCs w:val="22"/>
        </w:rPr>
        <w:t xml:space="preserve">With B constructed from the linking form, the four conditions of PTN-01 are reassessed.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0"/>
      </w:tblGrid>
      <w:tr>
        <w:tc>
          <w:tcPr>
            <w:tcW w:type="dxa" w:w="3400"/>
            <w:shd w:fill="0B1F3A" w:val="clear"/>
            <w:tcMar>
              <w:top w:type="dxa" w:w="80"/>
              <w:left w:type="dxa" w:w="100"/>
              <w:bottom w:type="dxa" w:w="80"/>
              <w:right w:type="dxa" w:w="100"/>
            </w:tcMar>
          </w:tcPr>
          <w:p>
            <w:r>
              <w:rPr>
                <w:rFonts w:ascii="Palatino Linotype" w:cs="Palatino Linotype" w:eastAsia="Palatino Linotype" w:hAnsi="Palatino Linotype"/>
                <w:b/>
                <w:bCs/>
                <w:color w:val="FFFFFF"/>
                <w:sz w:val="20"/>
                <w:szCs w:val="20"/>
              </w:rPr>
              <w:t xml:space="preserve">Condition</w:t>
            </w:r>
          </w:p>
        </w:tc>
        <w:tc>
          <w:tcPr>
            <w:tcW w:type="dxa" w:w="3400"/>
            <w:shd w:fill="0B1F3A" w:val="clear"/>
            <w:tcMar>
              <w:top w:type="dxa" w:w="80"/>
              <w:left w:type="dxa" w:w="100"/>
              <w:bottom w:type="dxa" w:w="80"/>
              <w:right w:type="dxa" w:w="100"/>
            </w:tcMar>
          </w:tcPr>
          <w:p>
            <w:r>
              <w:rPr>
                <w:rFonts w:ascii="Palatino Linotype" w:cs="Palatino Linotype" w:eastAsia="Palatino Linotype" w:hAnsi="Palatino Linotype"/>
                <w:b/>
                <w:bCs/>
                <w:color w:val="FFFFFF"/>
                <w:sz w:val="20"/>
                <w:szCs w:val="20"/>
              </w:rPr>
              <w:t xml:space="preserve">PTN-01 (unlinked, K_ab)</w:t>
            </w:r>
          </w:p>
        </w:tc>
        <w:tc>
          <w:tcPr>
            <w:tcW w:type="dxa" w:w="3400"/>
            <w:shd w:fill="0B1F3A" w:val="clear"/>
            <w:tcMar>
              <w:top w:type="dxa" w:w="80"/>
              <w:left w:type="dxa" w:w="100"/>
              <w:bottom w:type="dxa" w:w="80"/>
              <w:right w:type="dxa" w:w="100"/>
            </w:tcMar>
          </w:tcPr>
          <w:p>
            <w:r>
              <w:rPr>
                <w:rFonts w:ascii="Palatino Linotype" w:cs="Palatino Linotype" w:eastAsia="Palatino Linotype" w:hAnsi="Palatino Linotype"/>
                <w:b/>
                <w:bCs/>
                <w:color w:val="FFFFFF"/>
                <w:sz w:val="20"/>
                <w:szCs w:val="20"/>
              </w:rPr>
              <w:t xml:space="preserve">Under Axiom 6 (linked, B)</w:t>
            </w:r>
          </w:p>
        </w:tc>
      </w:tr>
      <w:tr>
        <w:tc>
          <w:tcPr>
            <w:tcW w:type="dxa" w:w="34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1. Sign-definiteness</w:t>
            </w:r>
          </w:p>
        </w:tc>
        <w:tc>
          <w:tcPr>
            <w:tcW w:type="dxa" w:w="34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Mixed across gauge factors</w:t>
            </w:r>
          </w:p>
        </w:tc>
        <w:tc>
          <w:tcPr>
            <w:tcW w:type="dxa" w:w="34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Satisfied on each cluster: cluster variables are positive Laurent polynomials on the totally positive variety by the Laurent phenomenon and positivity theorem for cluster algebras</w:t>
            </w:r>
          </w:p>
        </w:tc>
      </w:tr>
      <w:tr>
        <w:tc>
          <w:tcPr>
            <w:tcW w:type="dxa" w:w="34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2. Boundaries = degenerations</w:t>
            </w:r>
          </w:p>
        </w:tc>
        <w:tc>
          <w:tcPr>
            <w:tcW w:type="dxa" w:w="34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Fails — pairing zero locus misses mixed-charge splits</w:t>
            </w:r>
          </w:p>
        </w:tc>
        <w:tc>
          <w:tcPr>
            <w:tcW w:type="dxa" w:w="34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Satisfied by construction: mutation loci are defined to be reconnection loci, so boundary and degeneration coincide tautologically</w:t>
            </w:r>
          </w:p>
        </w:tc>
      </w:tr>
      <w:tr>
        <w:tc>
          <w:tcPr>
            <w:tcW w:type="dxa" w:w="34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3. Restriction compatibility</w:t>
            </w:r>
          </w:p>
        </w:tc>
        <w:tc>
          <w:tcPr>
            <w:tcW w:type="dxa" w:w="34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Satisfied (principal submatrices)</w:t>
            </w:r>
          </w:p>
        </w:tc>
        <w:tc>
          <w:tcPr>
            <w:tcW w:type="dxa" w:w="34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Satisfied: sub-seeds obtained by freezing a subset of variables give the exchange matrix restricted to the corresponding principal submatrix, the standard cluster-algebra sub-seed construction</w:t>
            </w:r>
          </w:p>
        </w:tc>
      </w:tr>
      <w:tr>
        <w:tc>
          <w:tcPr>
            <w:tcW w:type="dxa" w:w="34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4. Triangulation</w:t>
            </w:r>
          </w:p>
        </w:tc>
        <w:tc>
          <w:tcPr>
            <w:tcW w:type="dxa" w:w="34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Formally satisfied, physically empty</w:t>
            </w:r>
          </w:p>
        </w:tc>
        <w:tc>
          <w:tcPr>
            <w:tcW w:type="dxa" w:w="3400"/>
            <w:tcMar>
              <w:top w:type="dxa" w:w="80"/>
              <w:left w:type="dxa" w:w="100"/>
              <w:bottom w:type="dxa" w:w="80"/>
              <w:right w:type="dxa" w:w="100"/>
            </w:tcMar>
          </w:tcPr>
          <w:p>
            <w:r>
              <w:rPr>
                <w:rFonts w:ascii="Palatino Linotype" w:cs="Palatino Linotype" w:eastAsia="Palatino Linotype" w:hAnsi="Palatino Linotype"/>
                <w:b w:val="false"/>
                <w:bCs w:val="false"/>
                <w:color w:val="000000"/>
                <w:sz w:val="20"/>
                <w:szCs w:val="20"/>
              </w:rPr>
              <w:t xml:space="preserve">Satisfied and physically populated: the exchange graph of seeds under mutation gives a genuine triangulation-like cell structure (the cluster complex), with cells corresponding to reachable reconnection sequences</w:t>
            </w:r>
          </w:p>
        </w:tc>
      </w:tr>
    </w:tbl>
    <w:p>
      <w:pPr>
        <w:spacing w:after="160" w:line="276"/>
        <w:jc w:val="both"/>
      </w:pPr>
      <w:r>
        <w:rPr>
          <w:rFonts w:ascii="Palatino Linotype" w:cs="Palatino Linotype" w:eastAsia="Palatino Linotype" w:hAnsi="Palatino Linotype"/>
          <w:i w:val="false"/>
          <w:iCs w:val="false"/>
          <w:sz w:val="22"/>
          <w:szCs w:val="22"/>
        </w:rPr>
        <w:t xml:space="preserve"/>
      </w:r>
    </w:p>
    <w:p>
      <w:pPr>
        <w:spacing w:after="160" w:line="276"/>
        <w:jc w:val="both"/>
      </w:pPr>
      <w:r>
        <w:rPr>
          <w:rFonts w:ascii="Palatino Linotype" w:cs="Palatino Linotype" w:eastAsia="Palatino Linotype" w:hAnsi="Palatino Linotype"/>
          <w:i w:val="false"/>
          <w:iCs w:val="false"/>
          <w:sz w:val="22"/>
          <w:szCs w:val="22"/>
        </w:rPr>
        <w:t xml:space="preserve">Condition 2 is the clause worth dwelling on, since it was the point of failure in PTN-01. There, the obstruction was that a kinematic pairing was being asked to encode dynamical information it did not contain. Axiom 6 resolves this not by deriving the missing information from the existing dynamics, but by definitional fiat: mutations are declared to be the reconnection moves, so there is no gap left to close between “where the pairing vanishes” and “where defects actually split.” This is the sense in which Axiom 6 is a posit rather than a derivation — precisely the status flagged as open in PTN-01 §6.</w:t>
      </w:r>
    </w:p>
    <w:p>
      <w:pPr>
        <w:pStyle w:val="Heading1"/>
        <w:pBdr>
          <w:bottom w:val="single" w:color="B8912F" w:sz="6" w:space="4"/>
        </w:pBdr>
        <w:spacing w:after="160" w:before="360"/>
      </w:pPr>
      <w:r>
        <w:rPr>
          <w:rFonts w:ascii="Arial" w:cs="Arial" w:eastAsia="Arial" w:hAnsi="Arial"/>
          <w:b/>
          <w:bCs/>
          <w:color w:val="0B1F3A"/>
          <w:sz w:val="26"/>
          <w:szCs w:val="26"/>
        </w:rPr>
        <w:t xml:space="preserve">5. Conjectured Cluster Canonical Form</w:t>
      </w:r>
    </w:p>
    <w:p>
      <w:pPr>
        <w:spacing w:after="160" w:line="276"/>
        <w:jc w:val="both"/>
      </w:pPr>
      <w:r>
        <w:rPr>
          <w:rFonts w:ascii="Palatino Linotype" w:cs="Palatino Linotype" w:eastAsia="Palatino Linotype" w:hAnsi="Palatino Linotype"/>
          <w:i w:val="false"/>
          <w:iCs w:val="false"/>
          <w:sz w:val="22"/>
          <w:szCs w:val="22"/>
        </w:rPr>
        <w:t xml:space="preserve">Given the cluster-positive region defined by the totally positive part of the variety associated to 𝒦(Λ, B), we conjecture a canonical form Ω_cl — a top-degree rational differential form with logarithmic singularities exactly on the cluster variety's boundary divisors (the vanishing loci of frozen and mutable cluster variables). This is the direct analogue of the canonical forms already known for cluster varieties associated to Grassmannians and to the (tree-level) amplituhedron's cluster structure.</w:t>
      </w:r>
    </w:p>
    <w:p>
      <w:pPr>
        <w:spacing w:after="160" w:line="276"/>
        <w:jc w:val="both"/>
      </w:pPr>
      <w:r>
        <w:rPr>
          <w:rFonts w:ascii="Palatino Linotype" w:cs="Palatino Linotype" w:eastAsia="Palatino Linotype" w:hAnsi="Palatino Linotype"/>
          <w:i/>
          <w:iCs/>
          <w:sz w:val="22"/>
          <w:szCs w:val="22"/>
        </w:rPr>
        <w:t xml:space="preserve">Conjecture 1 (Residue Correspondence). The residue of Ω_cl on the boundary divisor {x_k = 0} corresponding to reconnection at defect k equals the MHQ-GBS hafnian amplitude for the Jahn-Teller/Franck-Condon channel opened by that reconnection.</w:t>
      </w:r>
    </w:p>
    <w:p>
      <w:pPr>
        <w:spacing w:after="160" w:line="276"/>
        <w:jc w:val="both"/>
      </w:pPr>
      <w:r>
        <w:rPr>
          <w:rFonts w:ascii="Palatino Linotype" w:cs="Palatino Linotype" w:eastAsia="Palatino Linotype" w:hAnsi="Palatino Linotype"/>
          <w:i w:val="false"/>
          <w:iCs w:val="false"/>
          <w:sz w:val="22"/>
          <w:szCs w:val="22"/>
        </w:rPr>
        <w:t xml:space="preserve">This conjecture is falsifiable in principle: it predicts that the combinatorial residue structure of Ω_cl, computable from the cluster algebra alone, must reproduce the hafnian channel structure already computed independently in the MHQ-GBS series. Agreement (or disagreement) between the two, for a worked example with small N, is the sharpest near-term test of Axiom 6 and is proposed as the subject of a following paper (Paper 52).</w:t>
      </w:r>
    </w:p>
    <w:p>
      <w:pPr>
        <w:pStyle w:val="Heading1"/>
        <w:pBdr>
          <w:bottom w:val="single" w:color="B8912F" w:sz="6" w:space="4"/>
        </w:pBdr>
        <w:spacing w:after="160" w:before="360"/>
      </w:pPr>
      <w:r>
        <w:rPr>
          <w:rFonts w:ascii="Arial" w:cs="Arial" w:eastAsia="Arial" w:hAnsi="Arial"/>
          <w:b/>
          <w:bCs/>
          <w:color w:val="0B1F3A"/>
          <w:sz w:val="26"/>
          <w:szCs w:val="26"/>
        </w:rPr>
        <w:t xml:space="preserve">6. Physical Interpretation</w:t>
      </w:r>
    </w:p>
    <w:p>
      <w:pPr>
        <w:spacing w:after="160" w:line="276"/>
        <w:jc w:val="both"/>
      </w:pPr>
      <w:r>
        <w:rPr>
          <w:rFonts w:ascii="Palatino Linotype" w:cs="Palatino Linotype" w:eastAsia="Palatino Linotype" w:hAnsi="Palatino Linotype"/>
          <w:i w:val="false"/>
          <w:iCs w:val="false"/>
          <w:sz w:val="22"/>
          <w:szCs w:val="22"/>
        </w:rPr>
        <w:t xml:space="preserve">Under Axiom 6, a topological sector is not merely a homotopy class but a cluster seed, and the theory's particle spectrum is reorganized as follows: stable configurations (Theorem 3.1 extrema) are cluster-Hamiltonian critical points within a fixed seed, while particle-number-changing processes — splitting, fusion, reconnection — are cluster mutations. This gives the coherence bound C of Axiom 4 a combinatorial reading it did not previously have: C plausibly bounds the diameter of the reachable mutation graph from a given seed, i.e., the number of reconnection events a configuration can undergo before decohering out of the phase-consistent regime. This connection is not established here and is flagged as an open technical question (§7.3).</w:t>
      </w:r>
    </w:p>
    <w:p>
      <w:pPr>
        <w:pStyle w:val="Heading1"/>
        <w:pBdr>
          <w:bottom w:val="single" w:color="B8912F" w:sz="6" w:space="4"/>
        </w:pBdr>
        <w:spacing w:after="160" w:before="360"/>
      </w:pPr>
      <w:r>
        <w:rPr>
          <w:rFonts w:ascii="Arial" w:cs="Arial" w:eastAsia="Arial" w:hAnsi="Arial"/>
          <w:b/>
          <w:bCs/>
          <w:color w:val="0B1F3A"/>
          <w:sz w:val="26"/>
          <w:szCs w:val="26"/>
        </w:rPr>
        <w:t xml:space="preserve">7. Open Problems</w:t>
      </w:r>
    </w:p>
    <w:p>
      <w:pPr>
        <w:pStyle w:val="ListParagraph"/>
        <w:numPr>
          <w:ilvl w:val="0"/>
          <w:numId w:val="1"/>
        </w:numPr>
        <w:spacing w:after="80"/>
      </w:pPr>
      <w:r>
        <w:rPr>
          <w:rFonts w:ascii="Palatino Linotype" w:cs="Palatino Linotype" w:eastAsia="Palatino Linotype" w:hAnsi="Palatino Linotype"/>
          <w:sz w:val="22"/>
          <w:szCs w:val="22"/>
        </w:rPr>
        <w:t xml:space="preserve">7.1 Independent motivation. Whether Axiom 6 follows from some more primitive principle — rather than being posited for the purpose of enabling a positive geometry — is unresolved. The historical precedent (maximal SUSY preceding the amplituhedron by years) suggests this is not disqualifying, but it is not yet resolved either.</w:t>
      </w:r>
    </w:p>
    <w:p>
      <w:pPr>
        <w:pStyle w:val="ListParagraph"/>
        <w:numPr>
          <w:ilvl w:val="0"/>
          <w:numId w:val="1"/>
        </w:numPr>
        <w:spacing w:after="80"/>
      </w:pPr>
      <w:r>
        <w:rPr>
          <w:rFonts w:ascii="Palatino Linotype" w:cs="Palatino Linotype" w:eastAsia="Palatino Linotype" w:hAnsi="Palatino Linotype"/>
          <w:sz w:val="22"/>
          <w:szCs w:val="22"/>
        </w:rPr>
        <w:t xml:space="preserve">7.2 Existence of the cluster structure in the physical theory. This paper defines B from the linking form and asserts the resulting object is a cluster algebra; it does not verify the finite-type or finite-mutation-type conditions that would guarantee Ω_cl exists as a well-defined finite object rather than an infinite-rank formal construction.</w:t>
      </w:r>
    </w:p>
    <w:p>
      <w:pPr>
        <w:pStyle w:val="ListParagraph"/>
        <w:numPr>
          <w:ilvl w:val="0"/>
          <w:numId w:val="1"/>
        </w:numPr>
        <w:spacing w:after="80"/>
      </w:pPr>
      <w:r>
        <w:rPr>
          <w:rFonts w:ascii="Palatino Linotype" w:cs="Palatino Linotype" w:eastAsia="Palatino Linotype" w:hAnsi="Palatino Linotype"/>
          <w:sz w:val="22"/>
          <w:szCs w:val="22"/>
        </w:rPr>
        <w:t xml:space="preserve">7.3 Relation to the coherence bound C. The proposed identification of C with mutation-graph diameter (§6) is suggestive but undeveloped; it requires an explicit map between the stochastic-drive dynamics of Axiom 4 and the combinatorics of the cluster exchange graph.</w:t>
      </w:r>
    </w:p>
    <w:p>
      <w:pPr>
        <w:pStyle w:val="ListParagraph"/>
        <w:numPr>
          <w:ilvl w:val="0"/>
          <w:numId w:val="1"/>
        </w:numPr>
        <w:spacing w:after="80"/>
      </w:pPr>
      <w:r>
        <w:rPr>
          <w:rFonts w:ascii="Palatino Linotype" w:cs="Palatino Linotype" w:eastAsia="Palatino Linotype" w:hAnsi="Palatino Linotype"/>
          <w:sz w:val="22"/>
          <w:szCs w:val="22"/>
        </w:rPr>
        <w:t xml:space="preserve">7.4 Worked example. Conjecture 1 should be tested first on the smallest nontrivial linked configuration — two braided defects with a single SU(2) linking pair — where both the cluster-algebra residue and the independently-derived MHQ-GBS hafinan channel are small enough to compute by hand.</w:t>
      </w:r>
    </w:p>
    <w:p>
      <w:pPr>
        <w:pStyle w:val="Heading1"/>
        <w:pBdr>
          <w:bottom w:val="single" w:color="B8912F" w:sz="6" w:space="4"/>
        </w:pBdr>
        <w:spacing w:after="160" w:before="360"/>
      </w:pPr>
      <w:r>
        <w:rPr>
          <w:rFonts w:ascii="Arial" w:cs="Arial" w:eastAsia="Arial" w:hAnsi="Arial"/>
          <w:b/>
          <w:bCs/>
          <w:color w:val="0B1F3A"/>
          <w:sz w:val="26"/>
          <w:szCs w:val="26"/>
        </w:rPr>
        <w:t xml:space="preserve">8. Relation to PTN-01</w:t>
      </w:r>
    </w:p>
    <w:p>
      <w:pPr>
        <w:spacing w:after="160" w:line="276"/>
        <w:jc w:val="both"/>
      </w:pPr>
      <w:r>
        <w:rPr>
          <w:rFonts w:ascii="Palatino Linotype" w:cs="Palatino Linotype" w:eastAsia="Palatino Linotype" w:hAnsi="Palatino Linotype"/>
          <w:i w:val="false"/>
          <w:iCs w:val="false"/>
          <w:sz w:val="22"/>
          <w:szCs w:val="22"/>
        </w:rPr>
        <w:t xml:space="preserve">This paper does not overturn PTN-01's central result: under Axioms 1–5 alone, no universal positive geometry exists, for the reasons given there. Axiom 6 is offered as exactly the missing ingredient PTN-01 §6 specified would be required — a structural addition, not a consequence of the existing axioms — and its status remains conjectural pending the resolution of §7.1–7.4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5A5A"/>
        <w:sz w:val="16"/>
        <w:szCs w:val="16"/>
      </w:rPr>
      <w:t xml:space="preserve">M. Brownlee · Dust LLC · </w:t>
    </w:r>
    <w:r>
      <w:rPr>
        <w:rFonts w:ascii="Arial" w:cs="Arial" w:eastAsia="Arial" w:hAnsi="Arial"/>
        <w:color w:val="5A5A5A"/>
        <w:sz w:val="16"/>
        <w:szCs w:val="16"/>
      </w:rPr>
      <w:t xml:space="preserve">PT-51</w:t>
    </w:r>
    <w:r>
      <w:rPr>
        <w:rFonts w:ascii="Arial" w:cs="Arial" w:eastAsia="Arial" w:hAnsi="Arial"/>
        <w:color w:val="5A5A5A"/>
        <w:sz w:val="16"/>
        <w:szCs w:val="16"/>
      </w:rPr>
      <w:t xml:space="preserve">   —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12F" w:sz="4" w:space="4"/>
      </w:pBdr>
    </w:pPr>
    <w:r>
      <w:rPr>
        <w:rFonts w:ascii="Arial" w:cs="Arial" w:eastAsia="Arial" w:hAnsi="Arial"/>
        <w:b/>
        <w:bCs/>
        <w:color w:val="0B1F3A"/>
        <w:sz w:val="16"/>
        <w:szCs w:val="16"/>
      </w:rPr>
      <w:t xml:space="preserve">DUST LLC</w:t>
    </w:r>
    <w:r>
      <w:rPr>
        <w:rFonts w:ascii="Arial" w:cs="Arial" w:eastAsia="Arial" w:hAnsi="Arial"/>
        <w:color w:val="5A5A5A"/>
        <w:sz w:val="16"/>
        <w:szCs w:val="16"/>
      </w:rPr>
      <w:t xml:space="preserve">   ·   PHASE THEORY WHITE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2026-07-20T01:49:08.789Z</dcterms:created>
  <dcterms:modified xsi:type="dcterms:W3CDTF">2026-07-20T01:49:08.806Z</dcterms:modified>
</cp:coreProperties>
</file>

<file path=docProps/custom.xml><?xml version="1.0" encoding="utf-8"?>
<Properties xmlns="http://schemas.openxmlformats.org/officeDocument/2006/custom-properties" xmlns:vt="http://schemas.openxmlformats.org/officeDocument/2006/docPropsVTypes"/>
</file>