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PM-7</w:t>
      </w:r>
    </w:p>
    <w:p>
      <w:pPr>
        <w:spacing w:after="240"/>
        <w:jc w:val="center"/>
      </w:pPr>
      <w:r>
        <w:rPr>
          <w:rFonts w:ascii="Arial" w:cs="Arial" w:eastAsia="Arial" w:hAnsi="Arial"/>
          <w:b/>
          <w:bCs/>
          <w:color w:val="1B2A4A"/>
          <w:sz w:val="32"/>
          <w:szCs w:val="32"/>
        </w:rPr>
        <w:t xml:space="preserve">Skyrmions in Chiral Magnets: A Structural Stress Test of the Phaset Formalism Beyond U(1) Phase</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July 26, 2026</w:t>
      </w:r>
    </w:p>
    <w:p>
      <w:pPr>
        <w:spacing w:after="300"/>
        <w:jc w:val="center"/>
      </w:pPr>
      <w:r>
        <w:rPr>
          <w:rFonts w:ascii="Arial" w:cs="Arial" w:eastAsia="Arial" w:hAnsi="Arial"/>
          <w:i/>
          <w:iCs/>
          <w:color w:val="666666"/>
          <w:sz w:val="16"/>
          <w:szCs w:val="16"/>
        </w:rPr>
        <w:t xml:space="preserve">Subject area: Phase Mechanics (PM series)  •  Keywords: phase substrate, magnetic skyrmion, Dzyaloshinskii–Moriya interaction, topological Hall effect, emergent monopole, skyrmion Hall effect,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Every candidate addressed so far in this series — laboratory double-layer plasmas (PM-2), charge-density-wave phasons and amplitudons (PM-3), Josephson-junction phase (PM-4), superfluid helium vortices (PM-5), and cold-atom BECs (PM-6) — shares the same underlying mathematical structure: a complex scalar order parameter ψ = |ψ|e^{iθ} with a U(1)-valued phase, whose topological defects are integer windings classified by the fundamental group π₁(U(1)) = ℤ. The magnetic skyrmion is structurally different. Its order parameter is a unit vector field m(r) on the two-sphere, and its topological charge is a Pontryagin index classified by π₂(S²) = ℤ — a map degree, not a phase winding. This note treats the skyrmion candidate explicitly as a stress test of whether the Phase Mechanics phaset formalism, whose vocabulary (phase, amplitude, winding number) is native to U(1) order parameters, meaningfully extends to an S²-valued one. It reviews the established Dzyaloshinskii–Moriya-stabilized skyrmion phenomenology, the topological Hall effect as a direct transport signature of topological charge, the emergent-monopole mechanism by which topological charge changes discretely, and skyrmion gyration/breathing dynamics, before proposing a correspondence and two falsifiable predictions testable with existing time-resolved X-ray microscopy and transport techniques on established skyrmion-hosting materials.</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The correspondence proposed in PM-2 through PM-6 rests, in every case, on identifying a phaset’s amplitude and phase coordinates with the modulus and argument of a complex order parameter, and its topological-sector coordinate with an integer winding of that phase around a point or line defect. This works cleanly because all five prior candidates are, at the level of their governing field theory, U(1) systems: a charge density wave’s Fröhlich order parameter, a superconductor’s or superfluid’s condensate wavefunction, and a BEC’s macroscopic wavefunction are all sections of a complex line bundle, and their topological defects are all classified by π₁(U(1)) ≅ ℤ.</w:t>
      </w:r>
    </w:p>
    <w:p>
      <w:pPr>
        <w:spacing w:after="200" w:line="276"/>
        <w:jc w:val="both"/>
      </w:pPr>
      <w:r>
        <w:rPr>
          <w:rFonts w:ascii="Palatino Linotype" w:cs="Palatino Linotype" w:eastAsia="Palatino Linotype" w:hAnsi="Palatino Linotype"/>
          <w:sz w:val="22"/>
          <w:szCs w:val="22"/>
        </w:rPr>
        <w:t xml:space="preserve">A magnetic skyrmion is not of this type. The relevant order parameter in a chiral ferromagnet is the local magnetization direction m(r) = M(r)/|M(r)|, a unit vector constrained to the two-sphere S², not a phase on a circle. Its topological charge — the skyrmion number — is the degree of the map from the (compactified) sample plane to S², classified by π₂(S²) ≅ ℤ. This is a genuinely different homotopy classification from every candidate addressed so far, and it is worth being explicit that the correspondence proposed in this note is accordingly more speculative than in PM-2 through PM-6: it is not obvious in advance that a formalism built around a U(1) phaset extends naturally to an S²-valued texture, and part of this note’s purpose is to make that gap visible rather than to paper over it.</w:t>
      </w:r>
    </w:p>
    <w:p>
      <w:pPr>
        <w:spacing w:after="200" w:line="276"/>
        <w:jc w:val="both"/>
      </w:pPr>
      <w:r>
        <w:rPr>
          <w:rFonts w:ascii="Palatino Linotype" w:cs="Palatino Linotype" w:eastAsia="Palatino Linotype" w:hAnsi="Palatino Linotype"/>
          <w:sz w:val="22"/>
          <w:szCs w:val="22"/>
        </w:rPr>
        <w:t xml:space="preserve">A second, related caveat is worth stating up front. The skyrmion textures addressed here are, in their standard theoretical treatment, classical or semiclassical objects — solutions of the classical Landau–Lifshitz–Gilbert equation with Dzyaloshinskii–Moriya interaction (DMI), not eigenstates of a quantum Hamiltonian in the way a BEC or Josephson-junction phase is. Where PM-4 and PM-6 could point to a genuine macroscopic quantum coordinate, this note’s candidate is best understood as a classical field-theoretic analogue, and any correspondence to the phaset formalism should be read with that distinction in mind throughout.</w:t>
      </w:r>
    </w:p>
    <w:p>
      <w:pPr>
        <w:pStyle w:val="Heading1"/>
        <w:pBdr>
          <w:bottom w:val="single" w:color="B8922B" w:sz="6" w:space="4"/>
        </w:pBdr>
        <w:spacing w:after="200" w:before="400"/>
      </w:pPr>
      <w:r>
        <w:rPr>
          <w:rFonts w:ascii="Arial" w:cs="Arial" w:eastAsia="Arial" w:hAnsi="Arial"/>
          <w:b/>
          <w:bCs/>
          <w:color w:val="1B2A4A"/>
          <w:sz w:val="26"/>
          <w:szCs w:val="26"/>
        </w:rPr>
        <w:t xml:space="preserve">II. Skyrmions in Chiral Magnets: Established Phenomenology</w:t>
      </w:r>
    </w:p>
    <w:p>
      <w:pPr>
        <w:spacing w:after="200" w:line="276"/>
        <w:jc w:val="both"/>
      </w:pPr>
      <w:r>
        <w:rPr>
          <w:rFonts w:ascii="Palatino Linotype" w:cs="Palatino Linotype" w:eastAsia="Palatino Linotype" w:hAnsi="Palatino Linotype"/>
          <w:sz w:val="22"/>
          <w:szCs w:val="22"/>
        </w:rPr>
        <w:t xml:space="preserve">In magnetic materials lacking inversion symmetry — the B20 family of compounds (MnSi, FeGe, Fe₁₋ₓCoₓSi) being the best-studied bulk examples — spin–orbit coupling produces a Dzyaloshinskii–Moriya interaction that favors canted, chiral spin arrangements over the collinear order a simple exchange interaction alone would produce. In a window of applied magnetic field and temperature just below the ordering transition, the competition between exchange, DMI, anisotropy, and Zeeman energy stabilizes a hexagonal lattice of skyrmions — localized, particle-like swirling spin textures in which the magnetization winds through all orientations on the sphere as one moves radially outward from the skyrmion’s center. This skyrmion lattice phase was first identified via small-angle neutron scattering in MnSi by Mühlbauer et al. in 2009, and imaged directly in real space via Lorentz transmission electron microscopy in thin-film Fe₀.₅Co₀.₅Si by Yu et al. in 2010, with individual skyrmions clearly resolved as distinct, countable objects.</w:t>
      </w:r>
    </w:p>
    <w:p>
      <w:pPr>
        <w:spacing w:after="200" w:line="276"/>
        <w:jc w:val="both"/>
      </w:pPr>
      <w:r>
        <w:rPr>
          <w:rFonts w:ascii="Palatino Linotype" w:cs="Palatino Linotype" w:eastAsia="Palatino Linotype" w:hAnsi="Palatino Linotype"/>
          <w:sz w:val="22"/>
          <w:szCs w:val="22"/>
        </w:rPr>
        <w:t xml:space="preserve">Interfacial DMI at heavy-metal/ferromagnet interfaces (Pt/Co/Ta and related multilayer stacks) was subsequently shown to stabilize Néel-type skyrmions at room temperature, removing the low-temperature constraint of the bulk B20 materials and making skyrmion textures accessible to standard laboratory conditions, imaged via X-ray magnetic circular dichroism microscopy. Skyrmions in both material classes can be driven by electrical current via spin-transfer torque at current densities several orders of magnitude lower than those required to move a conventional magnetic domain wall — a distinctive and well-documented efficiency advantage first demonstrated by Jonietz et al. in 2010.</w:t>
      </w:r>
    </w:p>
    <w:p>
      <w:pPr>
        <w:pStyle w:val="Heading1"/>
        <w:pBdr>
          <w:bottom w:val="single" w:color="B8922B" w:sz="6" w:space="4"/>
        </w:pBdr>
        <w:spacing w:after="200" w:before="400"/>
      </w:pPr>
      <w:r>
        <w:rPr>
          <w:rFonts w:ascii="Arial" w:cs="Arial" w:eastAsia="Arial" w:hAnsi="Arial"/>
          <w:b/>
          <w:bCs/>
          <w:color w:val="1B2A4A"/>
          <w:sz w:val="26"/>
          <w:szCs w:val="26"/>
        </w:rPr>
        <w:t xml:space="preserve">III. Topological Charge and Emergent Electrodynamics</w:t>
      </w:r>
    </w:p>
    <w:p>
      <w:pPr>
        <w:spacing w:after="200" w:line="276"/>
        <w:jc w:val="both"/>
      </w:pPr>
      <w:r>
        <w:rPr>
          <w:rFonts w:ascii="Palatino Linotype" w:cs="Palatino Linotype" w:eastAsia="Palatino Linotype" w:hAnsi="Palatino Linotype"/>
          <w:sz w:val="22"/>
          <w:szCs w:val="22"/>
        </w:rPr>
        <w:t xml:space="preserve">The skyrmion number Q = (1/4π)∫m·(∂ₓm × ∂ᵧm) d²r is an integer topological invariant of the texture, and it has a direct transport signature. Conduction electrons moving through a smoothly varying, non-coplanar magnetization texture acquire a real-space Berry phase, which acts on the electrons exactly as an emergent magnetic field would, with strength proportional to the local topological charge density. This produces the topological Hall effect — an additional contribution to the Hall resistivity, distinct from the ordinary and anomalous Hall effects, that appears only in the skyrmion-lattice phase and vanishes outside it. The topological Hall effect was established experimentally by Neubauer et al. in 2009 in MnSi and has since become the standard transport diagnostic for the presence and density of skyrmions in a sample, complementing direct imaging.</w:t>
      </w:r>
    </w:p>
    <w:p>
      <w:pPr>
        <w:pStyle w:val="Heading1"/>
        <w:pBdr>
          <w:bottom w:val="single" w:color="B8922B" w:sz="6" w:space="4"/>
        </w:pBdr>
        <w:spacing w:after="200" w:before="400"/>
      </w:pPr>
      <w:r>
        <w:rPr>
          <w:rFonts w:ascii="Arial" w:cs="Arial" w:eastAsia="Arial" w:hAnsi="Arial"/>
          <w:b/>
          <w:bCs/>
          <w:color w:val="1B2A4A"/>
          <w:sz w:val="26"/>
          <w:szCs w:val="26"/>
        </w:rPr>
        <w:t xml:space="preserve">IV. Topological-Charge-Changing Events: Emergent Monopoles</w:t>
      </w:r>
    </w:p>
    <w:p>
      <w:pPr>
        <w:spacing w:after="200" w:line="276"/>
        <w:jc w:val="both"/>
      </w:pPr>
      <w:r>
        <w:rPr>
          <w:rFonts w:ascii="Palatino Linotype" w:cs="Palatino Linotype" w:eastAsia="Palatino Linotype" w:hAnsi="Palatino Linotype"/>
          <w:sz w:val="22"/>
          <w:szCs w:val="22"/>
        </w:rPr>
        <w:t xml:space="preserve">Because Q is an integer, continuously deforming a skyrmion texture cannot change it — destroying or creating a skyrmion requires passing through a singular configuration at which the continuum magnetization field is locally undefined. In three dimensions, this singularity is a point at which the magnetization vanishes, acting as a source or sink of the emergent magnetic field associated with the topological charge density — an emergent magnetic monopole in the strict sense of sourcing a divergence in the Berry-phase-derived field, first identified theoretically by Milde et al. and confirmed via a characteristic signature in the time-resolved topological Hall response as a skyrmion lattice unwinds under a changing applied field. This is the skyrmion candidate’s topological-sector-changing event, structurally analogous to the phase slip (PM-3), quantum phase slip (PM-4), and vortex reconnection (PM-5) of the earlier notes, but occurring through a genuinely three-dimensional point singularity rather than a phase discontinuity along a line or at a point in a two-dimensional order parameter.</w:t>
      </w:r>
    </w:p>
    <w:p>
      <w:pPr>
        <w:pStyle w:val="Heading1"/>
        <w:pBdr>
          <w:bottom w:val="single" w:color="B8922B" w:sz="6" w:space="4"/>
        </w:pBdr>
        <w:spacing w:after="200" w:before="400"/>
      </w:pPr>
      <w:r>
        <w:rPr>
          <w:rFonts w:ascii="Arial" w:cs="Arial" w:eastAsia="Arial" w:hAnsi="Arial"/>
          <w:b/>
          <w:bCs/>
          <w:color w:val="1B2A4A"/>
          <w:sz w:val="26"/>
          <w:szCs w:val="26"/>
        </w:rPr>
        <w:t xml:space="preserve">V. Skyrmion Dynamics: Gyration and Breathing Modes</w:t>
      </w:r>
    </w:p>
    <w:p>
      <w:pPr>
        <w:spacing w:after="200" w:line="276"/>
        <w:jc w:val="both"/>
      </w:pPr>
      <w:r>
        <w:rPr>
          <w:rFonts w:ascii="Palatino Linotype" w:cs="Palatino Linotype" w:eastAsia="Palatino Linotype" w:hAnsi="Palatino Linotype"/>
          <w:sz w:val="22"/>
          <w:szCs w:val="22"/>
        </w:rPr>
        <w:t xml:space="preserve">An isolated skyrmion supports two principal low-energy dynamical modes, both directly measured via microwave and broadband ferromagnetic resonance spectroscopy: a breathing mode, in which the skyrmion’s radius oscillates while its topological charge and center position remain fixed, and a gyrotropic (translational) mode, in which the skyrmion’s center of mass precesses, driven by the Magnus-like force proportional to its topological charge under the Thiele equation of motion. Onose et al. directly observed and distinguished both modes via microwave absorption spectroscopy in the insulating chiral magnet Cu₂OSeO₃ in 2012. Under applied current, the gyrotropic coupling produces the skyrmion Hall effect: a skyrmion driven along the current direction is deflected transversely, at an angle set by the ratio of the Gilbert damping to the gyrocoupling constant (itself proportional to Q), directly imaged via time-resolved scanning transmission X-ray microscopy by Litzius et al. in 2017.</w:t>
      </w:r>
    </w:p>
    <w:p>
      <w:pPr>
        <w:pStyle w:val="Heading1"/>
        <w:pBdr>
          <w:bottom w:val="single" w:color="B8922B" w:sz="6" w:space="4"/>
        </w:pBdr>
        <w:spacing w:after="200" w:before="400"/>
      </w:pPr>
      <w:r>
        <w:rPr>
          <w:rFonts w:ascii="Arial" w:cs="Arial" w:eastAsia="Arial" w:hAnsi="Arial"/>
          <w:b/>
          <w:bCs/>
          <w:color w:val="1B2A4A"/>
          <w:sz w:val="26"/>
          <w:szCs w:val="26"/>
        </w:rPr>
        <w:t xml:space="preserve">VI.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maps the skyrmion’s breathing amplitude to the phaset’s coherence-amplitude coordinate and the skyrmion number Q to its topological-sector coordinate — both directly measured, respectively via microwave breathing-mode spectroscopy and via the topological Hall effect or direct imaging. This differs from every prior candidate in one structural respect worth stating plainly: because the skyrmion order parameter has no natural “magnitude” degree of freedom in the standard rigid-unit-vector (nonlinear sigma model) treatment — |m| is normally fixed at the saturation magnetization — the coherence-amplitude coordinate has no counterpart during ordinary skyrmion dynamics. It reappears only at the emergent-monopole event itself: sustaining a topological-charge change requires |m| to be allowed to vanish locally, exactly at the point and instant of the monopole singularity, which is the direct analogue of the vortex-core or phase-slip-core amplitude collapse in PM-3 through PM-6. Under this correspondence, ordinary skyrmion dynamics (breathing, gyration) explores only the phaset’s phase-and-sector coordinates at fixed, saturated amplitude, and the amplitude coordinate becomes dynamically relevant only during a topological-sector transition.</w:t>
      </w:r>
    </w:p>
    <w:p>
      <w:pPr>
        <w:pStyle w:val="Heading1"/>
        <w:pBdr>
          <w:bottom w:val="single" w:color="B8922B" w:sz="6" w:space="4"/>
        </w:pBdr>
        <w:spacing w:after="200" w:before="400"/>
      </w:pPr>
      <w:r>
        <w:rPr>
          <w:rFonts w:ascii="Arial" w:cs="Arial" w:eastAsia="Arial" w:hAnsi="Arial"/>
          <w:b/>
          <w:bCs/>
          <w:color w:val="1B2A4A"/>
          <w:sz w:val="26"/>
          <w:szCs w:val="26"/>
        </w:rPr>
        <w:t xml:space="preserve">VII. Falsifiable Predictions</w:t>
      </w:r>
    </w:p>
    <w:p>
      <w:pPr>
        <w:pStyle w:val="Heading2"/>
        <w:spacing w:after="140" w:before="260"/>
      </w:pPr>
      <w:r>
        <w:rPr>
          <w:rFonts w:ascii="Arial" w:cs="Arial" w:eastAsia="Arial" w:hAnsi="Arial"/>
          <w:b/>
          <w:bCs/>
          <w:color w:val="1B2A4A"/>
          <w:sz w:val="22"/>
          <w:szCs w:val="22"/>
        </w:rPr>
        <w:t xml:space="preserve">Prediction 1 — Sub-Poissonian emergent-monopole nucleation statistics</w:t>
      </w:r>
    </w:p>
    <w:p>
      <w:pPr>
        <w:spacing w:after="200" w:line="276"/>
        <w:jc w:val="both"/>
      </w:pPr>
      <w:r>
        <w:rPr>
          <w:rFonts w:ascii="Palatino Linotype" w:cs="Palatino Linotype" w:eastAsia="Palatino Linotype" w:hAnsi="Palatino Linotype"/>
          <w:sz w:val="22"/>
          <w:szCs w:val="22"/>
        </w:rPr>
        <w:t xml:space="preserve">Standard micromagnetic theory treats skyrmion annihilation (or creation) via an emergent monopole as a thermally activated process over an energy barrier set by the DMI, exchange, and applied-field strengths, with successive annihilation events across repeated field or current sweeps statistically independent at fixed conditions — approximately Poissonian, mirroring the Néel–Arrhenius treatment used elsewhere in micromagnetics. As in PM-3 through PM-6, the phaset correspondence predicts a measurable sub-Poissonian departure — a Fano factor below unity in the waiting-time distribution between monopole events, extracted from repeated identical field or current ramps — if the topological-sector coordinate carries a slowly relaxing correlation across successive charge-changing events.</w:t>
      </w:r>
    </w:p>
    <w:p>
      <w:pPr>
        <w:pStyle w:val="Heading2"/>
        <w:spacing w:after="140" w:before="260"/>
      </w:pPr>
      <w:r>
        <w:rPr>
          <w:rFonts w:ascii="Arial" w:cs="Arial" w:eastAsia="Arial" w:hAnsi="Arial"/>
          <w:b/>
          <w:bCs/>
          <w:color w:val="1B2A4A"/>
          <w:sz w:val="22"/>
          <w:szCs w:val="22"/>
        </w:rPr>
        <w:t xml:space="preserve">Prediction 2 — Fine structure in the skyrmion Hall angle</w:t>
      </w:r>
    </w:p>
    <w:p>
      <w:pPr>
        <w:spacing w:after="200" w:line="276"/>
        <w:jc w:val="both"/>
      </w:pPr>
      <w:r>
        <w:rPr>
          <w:rFonts w:ascii="Palatino Linotype" w:cs="Palatino Linotype" w:eastAsia="Palatino Linotype" w:hAnsi="Palatino Linotype"/>
          <w:sz w:val="22"/>
          <w:szCs w:val="22"/>
        </w:rPr>
        <w:t xml:space="preserve">The Thiele-equation treatment predicts a skyrmion Hall angle that is approximately constant with drive current, set purely by the ratio of Gilbert damping to gyrocoupling, with any current-dependence arising only from well-understood pinning and thermal effects at low drive. The phaset correspondence predicts additional weak, reproducible deviations from this constancy — narrow dips or kinks in the measured Hall angle as a function of drive current, at current values corresponding to resonant coupling between the gyrotropic and breathing modes — that standard Thiele-equation theory, which treats the two modes as largely independent at linear order, does not predict.</w:t>
      </w:r>
    </w:p>
    <w:p>
      <w:pPr>
        <w:spacing w:after="200" w:line="276"/>
        <w:jc w:val="both"/>
      </w:pPr>
      <w:r>
        <w:rPr>
          <w:rFonts w:ascii="Palatino Linotype" w:cs="Palatino Linotype" w:eastAsia="Palatino Linotype" w:hAnsi="Palatino Linotype"/>
          <w:sz w:val="22"/>
          <w:szCs w:val="22"/>
        </w:rPr>
        <w:t xml:space="preserve">A null result on both — Poissonian monopole-event statistics, and a skyrmion Hall angle that tracks the standard Thiele-equation prediction smoothly at all measured drive currents — would indicate that, notwithstanding the genuinely distinct π₂(S²) topological structure, the correspondence proposed here does not carry measurable content beyond standard chiral-magnet micromagnetics.</w:t>
      </w:r>
    </w:p>
    <w:p>
      <w:pPr>
        <w:pStyle w:val="Heading1"/>
        <w:pBdr>
          <w:bottom w:val="single" w:color="B8922B" w:sz="6" w:space="4"/>
        </w:pBdr>
        <w:spacing w:after="200" w:before="400"/>
      </w:pPr>
      <w:r>
        <w:rPr>
          <w:rFonts w:ascii="Arial" w:cs="Arial" w:eastAsia="Arial" w:hAnsi="Arial"/>
          <w:b/>
          <w:bCs/>
          <w:color w:val="1B2A4A"/>
          <w:sz w:val="26"/>
          <w:szCs w:val="26"/>
        </w:rPr>
        <w:t xml:space="preserve">VIII.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Material platform: a room-temperature interfacial-DMI multilayer (e.g. Pt/Co/Ta-based stack) for practical, non-cryogenic measurement, with a B20 bulk or thin-film compound (FeGe, near room temperature; MnSi, requiring a cryostat) as a cross-check against a materials system with different DMI strength and skyrmion size.</w:t>
      </w:r>
    </w:p>
    <w:p>
      <w:pPr>
        <w:pStyle w:val="ListParagraph"/>
        <w:numPr>
          <w:ilvl w:val="0"/>
          <w:numId w:val="2"/>
        </w:numPr>
        <w:spacing w:after="120"/>
      </w:pPr>
      <w:r>
        <w:rPr>
          <w:rFonts w:ascii="Palatino Linotype" w:cs="Palatino Linotype" w:eastAsia="Palatino Linotype" w:hAnsi="Palatino Linotype"/>
          <w:sz w:val="22"/>
          <w:szCs w:val="22"/>
        </w:rPr>
        <w:t xml:space="preserve">Monopole-event statistics: repeated, identical applied-field or current ramps through the skyrmion-lattice unwinding transition, with time-resolved topological Hall effect measurement to detect and time individual monopole (annihilation/creation) events, compiled into a waiting-time distribution for Fano-factor analysis against a Poissonian null.</w:t>
      </w:r>
    </w:p>
    <w:p>
      <w:pPr>
        <w:pStyle w:val="ListParagraph"/>
        <w:numPr>
          <w:ilvl w:val="0"/>
          <w:numId w:val="2"/>
        </w:numPr>
        <w:spacing w:after="120"/>
      </w:pPr>
      <w:r>
        <w:rPr>
          <w:rFonts w:ascii="Palatino Linotype" w:cs="Palatino Linotype" w:eastAsia="Palatino Linotype" w:hAnsi="Palatino Linotype"/>
          <w:sz w:val="22"/>
          <w:szCs w:val="22"/>
        </w:rPr>
        <w:t xml:space="preserve">Imaging cross-check: time-resolved scanning transmission X-ray microscopy or Lorentz TEM across the same transition, to confirm that transport-detected monopole events correspond one-to-one with imaged skyrmion annihilation or creation events.</w:t>
      </w:r>
    </w:p>
    <w:p>
      <w:pPr>
        <w:pStyle w:val="ListParagraph"/>
        <w:numPr>
          <w:ilvl w:val="0"/>
          <w:numId w:val="2"/>
        </w:numPr>
        <w:spacing w:after="120"/>
      </w:pPr>
      <w:r>
        <w:rPr>
          <w:rFonts w:ascii="Palatino Linotype" w:cs="Palatino Linotype" w:eastAsia="Palatino Linotype" w:hAnsi="Palatino Linotype"/>
          <w:sz w:val="22"/>
          <w:szCs w:val="22"/>
        </w:rPr>
        <w:t xml:space="preserve">Skyrmion Hall angle: current-driven skyrmion motion tracked via time-resolved STXM (following the Litzius et al. protocol), with the transverse-to-longitudinal velocity ratio measured across a finely spaced sweep of drive current spanning the expected gyrotropic–breathing mode resonance.</w:t>
      </w:r>
    </w:p>
    <w:p>
      <w:pPr>
        <w:pStyle w:val="ListParagraph"/>
        <w:numPr>
          <w:ilvl w:val="0"/>
          <w:numId w:val="2"/>
        </w:numPr>
        <w:spacing w:after="120"/>
      </w:pPr>
      <w:r>
        <w:rPr>
          <w:rFonts w:ascii="Palatino Linotype" w:cs="Palatino Linotype" w:eastAsia="Palatino Linotype" w:hAnsi="Palatino Linotype"/>
          <w:sz w:val="22"/>
          <w:szCs w:val="22"/>
        </w:rPr>
        <w:t xml:space="preserve">Mode spectroscopy: broadband ferromagnetic resonance or microwave absorption spectroscopy (following the Onose et al. protocol) to independently locate the breathing- and gyrotropic-mode frequencies for the specific sample and field conditions used in the Hall-angle measurement, so any observed fine structure can be checked against the independently measured mode-crossing condition.</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both protocols outside the skyrmion-lattice stability window (field or temperature outside the phase boundary), to confirm that any observed sub-Poissonian clustering or Hall-angle fine structure is tied to genuine skyrmion dynamics rather than instrumentation or sample artifacts.</w:t>
      </w:r>
    </w:p>
    <w:p>
      <w:pPr>
        <w:pStyle w:val="Heading1"/>
        <w:pBdr>
          <w:bottom w:val="single" w:color="B8922B" w:sz="6" w:space="4"/>
        </w:pBdr>
        <w:spacing w:after="200" w:before="400"/>
      </w:pPr>
      <w:r>
        <w:rPr>
          <w:rFonts w:ascii="Arial" w:cs="Arial" w:eastAsia="Arial" w:hAnsi="Arial"/>
          <w:b/>
          <w:bCs/>
          <w:color w:val="1B2A4A"/>
          <w:sz w:val="26"/>
          <w:szCs w:val="26"/>
        </w:rPr>
        <w:t xml:space="preserve">IX. Relation to the Phase DiVincenzo Criteria</w:t>
      </w:r>
    </w:p>
    <w:p>
      <w:pPr>
        <w:spacing w:after="200" w:line="276"/>
        <w:jc w:val="both"/>
      </w:pPr>
      <w:r>
        <w:rPr>
          <w:rFonts w:ascii="Palatino Linotype" w:cs="Palatino Linotype" w:eastAsia="Palatino Linotype" w:hAnsi="Palatino Linotype"/>
          <w:sz w:val="22"/>
          <w:szCs w:val="22"/>
        </w:rPr>
        <w:t xml:space="preserve">Skyrmions are comparatively strong against the PDC criteria concerned with scalability and readout: dense, individually addressable skyrmion arrays have already been proposed and partially demonstrated as a racetrack-memory architecture, with well-characterized nucleation, current-driven transport, and non-destructive readout via the topological Hall effect or magnetoresistance. They are markedly weaker against the criteria concerned with coherent quantum coupling between individually addressed units: skyrmion dynamics as addressed in this note is governed by classical (Landau–Lifshitz–Gilbert) equations of motion rather than a quantum Hamiltonian, and no existing experiment demonstrates coherent superposition or entanglement between two skyrmions in the sense the flux-qubit or bosonic-Josephson-junction candidates (PM-4, PM-6) already do. This should be read as a structural limitation of the candidate rather than an open experimental question: absent a quantum treatment of skyrmion dynamics, several PDC criteria may not apply to this candidate in their originally intended sense.</w:t>
      </w:r>
    </w:p>
    <w:p>
      <w:pPr>
        <w:pStyle w:val="Heading1"/>
        <w:pBdr>
          <w:bottom w:val="single" w:color="B8922B" w:sz="6" w:space="4"/>
        </w:pBdr>
        <w:spacing w:after="200" w:before="400"/>
      </w:pPr>
      <w:r>
        <w:rPr>
          <w:rFonts w:ascii="Arial" w:cs="Arial" w:eastAsia="Arial" w:hAnsi="Arial"/>
          <w:b/>
          <w:bCs/>
          <w:color w:val="1B2A4A"/>
          <w:sz w:val="26"/>
          <w:szCs w:val="26"/>
        </w:rPr>
        <w:t xml:space="preserve">X. Limitations and Falsification Conditions</w:t>
      </w:r>
    </w:p>
    <w:p>
      <w:pPr>
        <w:spacing w:after="200" w:line="276"/>
        <w:jc w:val="both"/>
      </w:pPr>
      <w:r>
        <w:rPr>
          <w:rFonts w:ascii="Palatino Linotype" w:cs="Palatino Linotype" w:eastAsia="Palatino Linotype" w:hAnsi="Palatino Linotype"/>
          <w:sz w:val="22"/>
          <w:szCs w:val="22"/>
        </w:rPr>
        <w:t xml:space="preserve">This note’s correspondence is the most structurally speculative in the series, for two compounding reasons stated at the outset: the skyrmion’s π₂(S²) topological classification is not a phase winding in the sense the phaset formalism’s vocabulary was built around, and skyrmion dynamics is standardly treated classically rather than quantum mechanically. Within that scope, the correspondence is falsified on its own terms if the monopole-event waiting-time distribution in Prediction 1 is consistent with a Poissonian process across the tested field and current range, and if the skyrmion Hall angle in Prediction 2 matches the standard Thiele-equation prediction smoothly at all measured drive currents. Given the acknowledged structural gap between this candidate and the U(1) systems of PM-2 through PM-6, a null result here should be weighted as informative primarily about whether the phaset formalism extends past U(1) order parameters at all, rather than as a strong statement about the formalism’s validity for its better-matched candidates.</w:t>
      </w:r>
    </w:p>
    <w:p>
      <w:pPr>
        <w:pStyle w:val="Heading1"/>
        <w:pBdr>
          <w:bottom w:val="single" w:color="B8922B" w:sz="6" w:space="4"/>
        </w:pBdr>
        <w:spacing w:after="200" w:before="400"/>
      </w:pPr>
      <w:r>
        <w:rPr>
          <w:rFonts w:ascii="Arial" w:cs="Arial" w:eastAsia="Arial" w:hAnsi="Arial"/>
          <w:b/>
          <w:bCs/>
          <w:color w:val="1B2A4A"/>
          <w:sz w:val="26"/>
          <w:szCs w:val="26"/>
        </w:rPr>
        <w:t xml:space="preserve">XI. Conclusion</w:t>
      </w:r>
    </w:p>
    <w:p>
      <w:pPr>
        <w:spacing w:after="200" w:line="276"/>
        <w:jc w:val="both"/>
      </w:pPr>
      <w:r>
        <w:rPr>
          <w:rFonts w:ascii="Palatino Linotype" w:cs="Palatino Linotype" w:eastAsia="Palatino Linotype" w:hAnsi="Palatino Linotype"/>
          <w:sz w:val="22"/>
          <w:szCs w:val="22"/>
        </w:rPr>
        <w:t xml:space="preserve">Magnetic skyrmions offer the series’ first genuine structural stress test: a topological charge classified by π₂(S²) rather than π₁(U(1)), realized in a classical rather than quantum field, with its own well-established phenomenology — the topological Hall effect, emergent monopole annihilation, and gyrotropic–breathing mode dynamics — built up over roughly fifteen years of chiral-magnet research. This note has proposed a correspondence that identifies the skyrmion’s breathing amplitude and topological charge with the phaset’s amplitude and sector coordinates, made explicit where that correspondence is weaker than in PM-2 through PM-6, and specified two falsifiable predictions — sub-Poissonian monopole-event statistics and skyrmion Hall angle fine structure — testable with existing time-resolved X-ray microscopy and transport techniques on established room-temperature and bulk skyrmion-hosting materials. Whatever the outcome, this candidate is positioned to answer a different question than PM-2 through PM-6: not whether the phaset formalism adds content to an already-close U(1) analogy, but whether it generalizes past U(1) at all.</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Mühlbauer, S. et al. “Skyrmion lattice in a chiral magnet.” Science 323, 915 (2009).</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Yu, X. Z. et al. “Real-space observation of a two-dimensional skyrmion crystal.” Nature 465, 901 (2010).</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Neubauer, A. et al. “Topological Hall effect in the A phase of MnSi.” Physical Review Letters 102, 186602 (2009).</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Jonietz, F. et al. “Spin transfer torques in MnSi at ultralow current densities.” Science 330, 1648 (2010).</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Milde, P. et al. “Unwinding of a skyrmion lattice by magnetic monopoles.” Science 340, 1076 (2013).</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Onose, Y., Okamura, Y., Seki, S., Ishiwata, S., and Tokura, Y. “Observation of magnetic excitations of skyrmion crystal in a helimagnetic insulator.” Physical Review Letters 109, 037603 (2012).</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Litzius, K. et al. “Skyrmion Hall effect revealed by direct time-resolved X-ray microscopy.” Nature Physics 13, 170 (2017).</w:t>
      </w:r>
    </w:p>
    <w:p>
      <w:pPr>
        <w:spacing w:after="120"/>
        <w:ind w:left="360" w:hanging="360"/>
      </w:pPr>
      <w:r>
        <w:rPr>
          <w:rFonts w:ascii="Palatino Linotype" w:cs="Palatino Linotype" w:eastAsia="Palatino Linotype" w:hAnsi="Palatino Linotype"/>
          <w:b/>
          <w:bCs/>
          <w:sz w:val="22"/>
          <w:szCs w:val="22"/>
        </w:rPr>
        <w:t xml:space="preserve">[8] </w:t>
      </w:r>
      <w:r>
        <w:rPr>
          <w:rFonts w:ascii="Palatino Linotype" w:cs="Palatino Linotype" w:eastAsia="Palatino Linotype" w:hAnsi="Palatino Linotype"/>
          <w:sz w:val="22"/>
          <w:szCs w:val="22"/>
        </w:rPr>
        <w:t xml:space="preserve">Fert, A., Cros, V., and Sampaio, J. “Skyrmions on the track.” Nature Nanotechnology 8, 152 (2013).</w:t>
      </w:r>
    </w:p>
    <w:p>
      <w:pPr>
        <w:spacing w:after="120"/>
        <w:ind w:left="360" w:hanging="360"/>
      </w:pPr>
      <w:r>
        <w:rPr>
          <w:rFonts w:ascii="Palatino Linotype" w:cs="Palatino Linotype" w:eastAsia="Palatino Linotype" w:hAnsi="Palatino Linotype"/>
          <w:b/>
          <w:bCs/>
          <w:sz w:val="22"/>
          <w:szCs w:val="22"/>
        </w:rPr>
        <w:t xml:space="preserve">[9] </w:t>
      </w:r>
      <w:r>
        <w:rPr>
          <w:rFonts w:ascii="Palatino Linotype" w:cs="Palatino Linotype" w:eastAsia="Palatino Linotype" w:hAnsi="Palatino Linotype"/>
          <w:sz w:val="22"/>
          <w:szCs w:val="22"/>
        </w:rPr>
        <w:t xml:space="preserve">Nagaosa, N. and Tokura, Y. “Topological properties and dynamics of magnetic skyrmions.” Nature Nanotechnology 8, 899 (2013).</w:t>
      </w:r>
    </w:p>
    <w:p>
      <w:pPr>
        <w:spacing w:after="120"/>
        <w:ind w:left="360" w:hanging="360"/>
      </w:pPr>
      <w:r>
        <w:rPr>
          <w:rFonts w:ascii="Palatino Linotype" w:cs="Palatino Linotype" w:eastAsia="Palatino Linotype" w:hAnsi="Palatino Linotype"/>
          <w:b/>
          <w:bCs/>
          <w:sz w:val="22"/>
          <w:szCs w:val="22"/>
        </w:rPr>
        <w:t xml:space="preserve">[10]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through PM-6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PM-7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2026-08-01T06:30:01.409Z</dcterms:created>
  <dcterms:modified xsi:type="dcterms:W3CDTF">2026-08-01T06:30:01.419Z</dcterms:modified>
</cp:coreProperties>
</file>

<file path=docProps/custom.xml><?xml version="1.0" encoding="utf-8"?>
<Properties xmlns="http://schemas.openxmlformats.org/officeDocument/2006/custom-properties" xmlns:vt="http://schemas.openxmlformats.org/officeDocument/2006/docPropsVTypes"/>
</file>