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0B1F3A"/>
          <w:sz w:val="32"/>
          <w:szCs w:val="32"/>
        </w:rPr>
        <w:t xml:space="preserve">Φ-WAVE THEORY</w:t>
      </w:r>
    </w:p>
    <w:p>
      <w:pPr>
        <w:spacing w:after="60"/>
        <w:jc w:val="center"/>
      </w:pPr>
      <w:r>
        <w:rPr>
          <w:rFonts w:ascii="Arial" w:cs="Arial" w:eastAsia="Arial" w:hAnsi="Arial"/>
          <w:b/>
          <w:bCs/>
          <w:color w:val="C9A227"/>
          <w:sz w:val="24"/>
          <w:szCs w:val="24"/>
        </w:rPr>
        <w:t xml:space="preserve">Paper 40A — Vacuum Energy Regularization via Admissibility</w:t>
      </w:r>
    </w:p>
    <w:p>
      <w:pPr>
        <w:spacing w:after="400"/>
        <w:jc w:val="center"/>
      </w:pPr>
      <w:r>
        <w:rPr>
          <w:rFonts w:ascii="Palatino Linotype" w:cs="Palatino Linotype" w:eastAsia="Palatino Linotype" w:hAnsi="Palatino Linotype"/>
          <w:i/>
          <w:iCs/>
          <w:color w:val="0B1F3A"/>
          <w:sz w:val="22"/>
          <w:szCs w:val="22"/>
        </w:rPr>
        <w:t xml:space="preserve">Finiteness of the Phase Vacuum and the Separation of Degeneracy from Magnitude</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Abstract</w:t>
      </w:r>
    </w:p>
    <w:p>
      <w:pPr>
        <w:spacing w:after="200" w:line="300"/>
        <w:jc w:val="both"/>
      </w:pPr>
      <w:r>
        <w:rPr>
          <w:rFonts w:ascii="Palatino Linotype" w:cs="Palatino Linotype" w:eastAsia="Palatino Linotype" w:hAnsi="Palatino Linotype"/>
          <w:sz w:val="22"/>
          <w:szCs w:val="22"/>
        </w:rPr>
        <w:t xml:space="preserve">Paper 40 defined the phase vacuum as the set of globally admissible, energy-minimizing configurations of Φ, with vacuum energy density given by ρ_vac = V(Φ_0). This paper makes explicit why that definition is finite where the naive field-theoretic construction of vacuum energy is not. We show that the divergence obtained by summing zero-point contributions over all momentum modes is an artifact of treating every mode as an admissible phase configuration. Once the admissibility constraint 𝒜[Φ] = 0 from Phase Theory is imposed, the mode sum is restricted to an admissible sector, and the vacuum energy reduces to a single finite value fixed by the potential minimum. We further separate two properties of the vacuum that are easily conflated: the geometric degeneracy of the vacuum manifold ℳ_vac, which may be arbitrarily large or continuous, and the scalar magnitude of the vacuum energy, which is bounded and finite. A curvature bound on fluctuations shows that excitations around the vacuum are likewise finite, closing the naive route from vacuum degeneracy to unbounded energy.</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1. Introduction</w:t>
      </w:r>
    </w:p>
    <w:p>
      <w:pPr>
        <w:spacing w:after="200" w:line="300"/>
        <w:jc w:val="both"/>
      </w:pPr>
      <w:r>
        <w:rPr>
          <w:rFonts w:ascii="Palatino Linotype" w:cs="Palatino Linotype" w:eastAsia="Palatino Linotype" w:hAnsi="Palatino Linotype"/>
          <w:sz w:val="22"/>
          <w:szCs w:val="22"/>
        </w:rPr>
        <w:t xml:space="preserve">Paper 40 established the phase vacuum as a geometric and topological object:</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vacuum = globally stable, uniform phase configuration</w:t>
            </w:r>
          </w:p>
        </w:tc>
      </w:tr>
    </w:tbl>
    <w:p>
      <w:pPr>
        <w:spacing w:after="200"/>
      </w:pPr>
    </w:p>
    <w:p>
      <w:pPr>
        <w:spacing w:after="200" w:line="300"/>
        <w:jc w:val="both"/>
      </w:pPr>
      <w:r>
        <w:rPr>
          <w:rFonts w:ascii="Palatino Linotype" w:cs="Palatino Linotype" w:eastAsia="Palatino Linotype" w:hAnsi="Palatino Linotype"/>
          <w:sz w:val="22"/>
          <w:szCs w:val="22"/>
        </w:rPr>
        <w:t xml:space="preserve">with energy density ρ_vac = V(Φ_0) fixed at the minimum of the phase potential. That definition was left implicit in one respect: it does not proceed by the route standard field theory uses to compute vacuum energy — summing the zero-point energy of every oscillator mode of the field. This paper closes that gap explicitly, showing that the mode-sum route and the potential-minimum route are not equivalent, and that Phase Theory's admissibility constraint is precisely what makes them differ.</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2. The Naive Mode-Sum Construction</w:t>
      </w:r>
    </w:p>
    <w:p>
      <w:pPr>
        <w:spacing w:after="200" w:line="300"/>
        <w:jc w:val="both"/>
      </w:pPr>
      <w:r>
        <w:rPr>
          <w:rFonts w:ascii="Palatino Linotype" w:cs="Palatino Linotype" w:eastAsia="Palatino Linotype" w:hAnsi="Palatino Linotype"/>
          <w:sz w:val="22"/>
          <w:szCs w:val="22"/>
        </w:rPr>
        <w:t xml:space="preserve">Treating Φ as a collection of independent oscillator modes indexed by momentum k, each mode contributes a zero-point energy ½ħω_k. Summing over all modes gives:</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E_vac = Σ_k ½ħω_k → ∫ d³k ½ħω_k</w:t>
            </w:r>
          </w:p>
        </w:tc>
      </w:tr>
    </w:tbl>
    <w:p>
      <w:pPr>
        <w:spacing w:after="200"/>
      </w:pPr>
    </w:p>
    <w:p>
      <w:pPr>
        <w:spacing w:after="200" w:line="300"/>
        <w:jc w:val="both"/>
      </w:pPr>
      <w:r>
        <w:rPr>
          <w:rFonts w:ascii="Palatino Linotype" w:cs="Palatino Linotype" w:eastAsia="Palatino Linotype" w:hAnsi="Palatino Linotype"/>
          <w:sz w:val="22"/>
          <w:szCs w:val="22"/>
        </w:rPr>
        <w:t xml:space="preserve">This integral diverges as k → ∞. The divergence is not a small correction — it is unbounded, and its regularization (by cutoff, subtraction, or renormalization) is a choice imposed from outside the calculation rather than a consequence of the underlying field configuration space. Any finite value extracted this way is only as physical as the regularization scheme used to produce it.</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3. Divergence as an Admissibility Failure</w:t>
      </w:r>
    </w:p>
    <w:p>
      <w:pPr>
        <w:spacing w:after="200" w:line="300"/>
        <w:jc w:val="both"/>
      </w:pPr>
      <w:r>
        <w:rPr>
          <w:rFonts w:ascii="Palatino Linotype" w:cs="Palatino Linotype" w:eastAsia="Palatino Linotype" w:hAnsi="Palatino Linotype"/>
          <w:sz w:val="22"/>
          <w:szCs w:val="22"/>
        </w:rPr>
        <w:t xml:space="preserve">The mode sum in Section 2 implicitly assumes that every momentum mode, at every amplitude, corresponds to a legitimate vacuum contribution — that the full configuration space of Φ is available to the vacuum without restriction. Phase Theory does not grant this. A phase configuration only contributes to physical structure if it satisfies global admissibility:</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𝒜[Φ] = 0</w:t>
            </w:r>
          </w:p>
        </w:tc>
      </w:tr>
    </w:tbl>
    <w:p>
      <w:pPr>
        <w:spacing w:after="200"/>
      </w:pPr>
    </w:p>
    <w:p>
      <w:pPr>
        <w:spacing w:after="200" w:line="300"/>
        <w:jc w:val="both"/>
      </w:pPr>
      <w:r>
        <w:rPr>
          <w:rFonts w:ascii="Palatino Linotype" w:cs="Palatino Linotype" w:eastAsia="Palatino Linotype" w:hAnsi="Palatino Linotype"/>
          <w:sz w:val="22"/>
          <w:szCs w:val="22"/>
        </w:rPr>
        <w:t xml:space="preserve">High-momentum, high-curvature configurations of Φ — precisely the ones responsible for the ultraviolet divergence in Section 2 — are generically the configurations admissibility excludes. The divergence is therefore not a property of the vacuum; it is a property of summing over a configuration space that includes non-admissible states. Once admissibility is imposed, the sum is no longer taken over all of momentum space, but over the admissible sector only:</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𝒞_adm = { Φ : 𝒜[Φ] = 0 } ⊂ 𝒞</w:t>
            </w:r>
          </w:p>
        </w:tc>
      </w:tr>
    </w:tbl>
    <w:p>
      <w:pPr>
        <w:spacing w:after="200"/>
      </w:pPr>
    </w:p>
    <w:p>
      <w:pPr>
        <w:spacing w:after="200" w:line="300"/>
        <w:jc w:val="both"/>
      </w:pPr>
      <w:r>
        <w:rPr>
          <w:rFonts w:ascii="Palatino Linotype" w:cs="Palatino Linotype" w:eastAsia="Palatino Linotype" w:hAnsi="Palatino Linotype"/>
          <w:sz w:val="22"/>
          <w:szCs w:val="22"/>
        </w:rPr>
        <w:t xml:space="preserve">This is the same sector decomposition introduced in Paper 40, Section 14, applied here as a regularization mechanism rather than merely a classification device.</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4. Admissibility-Regularized Vacuum Energy</w:t>
      </w:r>
    </w:p>
    <w:p>
      <w:pPr>
        <w:spacing w:after="200" w:line="300"/>
        <w:jc w:val="both"/>
      </w:pPr>
      <w:r>
        <w:rPr>
          <w:rFonts w:ascii="Palatino Linotype" w:cs="Palatino Linotype" w:eastAsia="Palatino Linotype" w:hAnsi="Palatino Linotype"/>
          <w:sz w:val="22"/>
          <w:szCs w:val="22"/>
        </w:rPr>
        <w:t xml:space="preserve">Within the admissible sector, the vacuum is not reached by summing contributions from every mode but by minimizing the potential directly:</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Φ_0 ∈ argmin_{𝒞_adm} V(Φ), ρ_vac = V(Φ_0)</w:t>
            </w:r>
          </w:p>
        </w:tc>
      </w:tr>
    </w:tbl>
    <w:p>
      <w:pPr>
        <w:spacing w:after="200"/>
      </w:pPr>
    </w:p>
    <w:p>
      <w:pPr>
        <w:spacing w:after="200" w:line="300"/>
        <w:jc w:val="both"/>
      </w:pPr>
      <w:r>
        <w:rPr>
          <w:rFonts w:ascii="Palatino Linotype" w:cs="Palatino Linotype" w:eastAsia="Palatino Linotype" w:hAnsi="Palatino Linotype"/>
          <w:sz w:val="22"/>
          <w:szCs w:val="22"/>
        </w:rPr>
        <w:t xml:space="preserve">This is a single evaluation of a bounded functional at its minimum, not an integral over an unbounded domain. Provided V(Φ) is bounded below on 𝒞_adm — which admissibility guarantees by excluding the runaway configurations that would drive V to −∞ — ρ_vac is finite by construction.</w:t>
      </w:r>
    </w:p>
    <w:p>
      <w:pPr>
        <w:spacing w:after="200"/>
      </w:pPr>
    </w:p>
    <w:p>
      <w:pPr>
        <w:spacing w:after="200"/>
      </w:pPr>
      <w:r>
        <w:rPr>
          <w:rFonts w:ascii="Palatino Linotype" w:cs="Palatino Linotype" w:eastAsia="Palatino Linotype" w:hAnsi="Palatino Linotype"/>
          <w:b/>
          <w:bCs/>
          <w:sz w:val="22"/>
          <w:szCs w:val="22"/>
        </w:rPr>
        <w:t xml:space="preserve">Theorem 4.1 (Vacuum Finiteness).</w:t>
      </w:r>
    </w:p>
    <w:p>
      <w:pPr>
        <w:spacing w:after="200" w:line="300"/>
        <w:jc w:val="both"/>
      </w:pPr>
      <w:r>
        <w:rPr>
          <w:rFonts w:ascii="Palatino Linotype" w:cs="Palatino Linotype" w:eastAsia="Palatino Linotype" w:hAnsi="Palatino Linotype"/>
          <w:sz w:val="22"/>
          <w:szCs w:val="22"/>
        </w:rPr>
        <w:t xml:space="preserve">If V(Φ) is bounded below on the admissible sector 𝒞_adm, the phase vacuum energy ρ_vac = V(Φ_0) is finite, independent of any external regularization scheme.</w:t>
      </w:r>
    </w:p>
    <w:p>
      <w:pPr>
        <w:spacing w:after="200" w:line="300"/>
        <w:jc w:val="both"/>
      </w:pPr>
      <w:r>
        <w:rPr>
          <w:rFonts w:ascii="Palatino Linotype" w:cs="Palatino Linotype" w:eastAsia="Palatino Linotype" w:hAnsi="Palatino Linotype"/>
          <w:sz w:val="22"/>
          <w:szCs w:val="22"/>
        </w:rPr>
        <w:t xml:space="preserve">∎</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5. Recovering Effective Mode Structure</w:t>
      </w:r>
    </w:p>
    <w:p>
      <w:pPr>
        <w:spacing w:after="200" w:line="300"/>
        <w:jc w:val="both"/>
      </w:pPr>
      <w:r>
        <w:rPr>
          <w:rFonts w:ascii="Palatino Linotype" w:cs="Palatino Linotype" w:eastAsia="Palatino Linotype" w:hAnsi="Palatino Linotype"/>
          <w:sz w:val="22"/>
          <w:szCs w:val="22"/>
        </w:rPr>
        <w:t xml:space="preserve">Finiteness of ρ_vac does not remove mode structure from the theory — it constrains it. Small fluctuations around Φ_0,</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δΦ ∼ e^{i(kx − ωt)}</w:t>
            </w:r>
          </w:p>
        </w:tc>
      </w:tr>
    </w:tbl>
    <w:p>
      <w:pPr>
        <w:spacing w:after="200"/>
      </w:pPr>
    </w:p>
    <w:p>
      <w:pPr>
        <w:spacing w:after="200" w:line="300"/>
        <w:jc w:val="both"/>
      </w:pPr>
      <w:r>
        <w:rPr>
          <w:rFonts w:ascii="Palatino Linotype" w:cs="Palatino Linotype" w:eastAsia="Palatino Linotype" w:hAnsi="Palatino Linotype"/>
          <w:sz w:val="22"/>
          <w:szCs w:val="22"/>
        </w:rPr>
        <w:t xml:space="preserve">still admit a mode decomposition, but only over k such that Φ_0 + δΦ remains admissible. The effective mode sum becomes:</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E_fluc = ∫_{k ∈ 𝒜-allowed} d³k ½ħω_k</w:t>
            </w:r>
          </w:p>
        </w:tc>
      </w:tr>
    </w:tbl>
    <w:p>
      <w:pPr>
        <w:spacing w:after="200"/>
      </w:pPr>
    </w:p>
    <w:p>
      <w:pPr>
        <w:spacing w:after="200" w:line="300"/>
        <w:jc w:val="both"/>
      </w:pPr>
      <w:r>
        <w:rPr>
          <w:rFonts w:ascii="Palatino Linotype" w:cs="Palatino Linotype" w:eastAsia="Palatino Linotype" w:hAnsi="Palatino Linotype"/>
          <w:sz w:val="22"/>
          <w:szCs w:val="22"/>
        </w:rPr>
        <w:t xml:space="preserve">an integral over a restricted domain rather than all of momentum space. Admissibility functions as a structural, theory-internal cutoff: it does not need to be inserted by hand, because it is already part of the definition of the vacuum from Paper 40.</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6. Vacuum Degeneracy Is Not Vacuum Magnitude</w:t>
      </w:r>
    </w:p>
    <w:p>
      <w:pPr>
        <w:spacing w:after="200" w:line="300"/>
        <w:jc w:val="both"/>
      </w:pPr>
      <w:r>
        <w:rPr>
          <w:rFonts w:ascii="Palatino Linotype" w:cs="Palatino Linotype" w:eastAsia="Palatino Linotype" w:hAnsi="Palatino Linotype"/>
          <w:sz w:val="22"/>
          <w:szCs w:val="22"/>
        </w:rPr>
        <w:t xml:space="preserve">Paper 40, Section 5, established that the vacuum may be degenerate — the manifold ℳ_vac can have positive dimension, as in the symmetry-breaking example ℳ_vac ≅ S^{n−1}. It is tempting to read this geometric richness as a statement about the size of the vacuum energy: a large or continuous set of ground states suggesting a large or unbounded energy. This is a category error. Degeneracy is a statement about the multiplicity of minimizers; ρ_vac is a statement about the value of V at those minimizers. The two are logically independent.</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dim(ℳ_vac) and ρ_vac = V(Φ_0) are independent quantities</w:t>
            </w:r>
          </w:p>
        </w:tc>
      </w:tr>
    </w:tbl>
    <w:p>
      <w:pPr>
        <w:spacing w:after="200"/>
      </w:pPr>
    </w:p>
    <w:p>
      <w:pPr>
        <w:spacing w:after="200"/>
      </w:pPr>
      <w:r>
        <w:rPr>
          <w:rFonts w:ascii="Palatino Linotype" w:cs="Palatino Linotype" w:eastAsia="Palatino Linotype" w:hAnsi="Palatino Linotype"/>
          <w:b/>
          <w:bCs/>
          <w:sz w:val="22"/>
          <w:szCs w:val="22"/>
        </w:rPr>
        <w:t xml:space="preserve">Theorem 6.1 (Degeneracy–Magnitude Separation).</w:t>
      </w:r>
    </w:p>
    <w:p>
      <w:pPr>
        <w:spacing w:after="200" w:line="300"/>
        <w:jc w:val="both"/>
      </w:pPr>
      <w:r>
        <w:rPr>
          <w:rFonts w:ascii="Palatino Linotype" w:cs="Palatino Linotype" w:eastAsia="Palatino Linotype" w:hAnsi="Palatino Linotype"/>
          <w:sz w:val="22"/>
          <w:szCs w:val="22"/>
        </w:rPr>
        <w:t xml:space="preserve">For any Φ_0, Φ_0′ ∈ ℳ_vac, V(Φ_0) = V(Φ_0′) = V_min by definition of the vacuum manifold. Degeneracy therefore describes orientation within a fixed-energy set, not variation in the energy itself. An arbitrarily large dim(ℳ_vac) is compatible with an arbitrarily small, finite V_min.</w:t>
      </w:r>
    </w:p>
    <w:p>
      <w:pPr>
        <w:spacing w:after="200" w:line="300"/>
        <w:jc w:val="both"/>
      </w:pPr>
      <w:r>
        <w:rPr>
          <w:rFonts w:ascii="Palatino Linotype" w:cs="Palatino Linotype" w:eastAsia="Palatino Linotype" w:hAnsi="Palatino Linotype"/>
          <w:sz w:val="22"/>
          <w:szCs w:val="22"/>
        </w:rPr>
        <w:t xml:space="preserve">∎</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7. Curvature Bound on Fluctuations</w:t>
      </w:r>
    </w:p>
    <w:p>
      <w:pPr>
        <w:spacing w:after="200" w:line="300"/>
        <w:jc w:val="both"/>
      </w:pPr>
      <w:r>
        <w:rPr>
          <w:rFonts w:ascii="Palatino Linotype" w:cs="Palatino Linotype" w:eastAsia="Palatino Linotype" w:hAnsi="Palatino Linotype"/>
          <w:sz w:val="22"/>
          <w:szCs w:val="22"/>
        </w:rPr>
        <w:t xml:space="preserve">The stability condition from Paper 40, Section 11,</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∂²V/∂Φ² &gt; 0</w:t>
            </w:r>
          </w:p>
        </w:tc>
      </w:tr>
    </w:tbl>
    <w:p>
      <w:pPr>
        <w:spacing w:after="200"/>
      </w:pPr>
    </w:p>
    <w:p>
      <w:pPr>
        <w:spacing w:after="200" w:line="300"/>
        <w:jc w:val="both"/>
      </w:pPr>
      <w:r>
        <w:rPr>
          <w:rFonts w:ascii="Palatino Linotype" w:cs="Palatino Linotype" w:eastAsia="Palatino Linotype" w:hAnsi="Palatino Linotype"/>
          <w:sz w:val="22"/>
          <w:szCs w:val="22"/>
        </w:rPr>
        <w:t xml:space="preserve">does more than guarantee stability — it bounds the energy cost of any admissible fluctuation. Since the mass term is defined as m² = ∂²V/∂Φ² (Paper 40, Section 17), the energy of a fluctuation of amplitude |δΦ| is bounded below by a term proportional to m²|δΦ|², and, within the admissible sector, bounded above by the finite curvature of V near Φ_0. Fluctuations are therefore finite excitations governed by local geometry, not access points to an unbounded reservoir. Nothing in the phase-vacuum construction supports treating vacuum fluctuations as a source of extractable energy.</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8. Relation to the Vacuum Energy Problem</w:t>
      </w:r>
    </w:p>
    <w:p>
      <w:pPr>
        <w:spacing w:after="200" w:line="300"/>
        <w:jc w:val="both"/>
      </w:pPr>
      <w:r>
        <w:rPr>
          <w:rFonts w:ascii="Palatino Linotype" w:cs="Palatino Linotype" w:eastAsia="Palatino Linotype" w:hAnsi="Palatino Linotype"/>
          <w:sz w:val="22"/>
          <w:szCs w:val="22"/>
        </w:rPr>
        <w:t xml:space="preserve">The historical difficulty with vacuum energy in field theory is not merely that the naive calculation diverges, but that regularized versions of it overshoot observed values by an enormous margin, leaving the finite remainder unexplained. Section 4 reframes the question: rather than computing an enormous bare quantity and asking what cancels it down to the observed scale, Phase Theory computes ρ_vac directly as V(Φ_0) on the admissible sector, with no bare divergence to cancel in the first place. The admissibility constraint plays the role usually assigned to an ad hoc regulator, except that it is derived from the same functional (Paper 35) and admissibility structure (Paper 10) that define the rest of the theory, rather than introduced solely to fix the vacuum energy calculation.</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9. Physical Interpretation</w:t>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Vacuum energy is finite because admissibility restricts the configuration space, not because a divergence has been cancelled</w:t>
            </w:r>
          </w:p>
        </w:tc>
      </w:tr>
    </w:tbl>
    <w:p>
      <w:pPr>
        <w:spacing w:after="200"/>
      </w:pP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Vacuum degeneracy is a statement of geometric multiplicity, not of energetic magnitude</w:t>
            </w:r>
          </w:p>
        </w:tc>
      </w:tr>
    </w:tbl>
    <w:p>
      <w:pPr>
        <w:spacing w:after="200"/>
      </w:pP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Fluctuations are curvature-bounded excitations, not an extractable reservoir</w:t>
            </w:r>
          </w:p>
        </w:tc>
      </w:tr>
    </w:tbl>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10. Relation to Corpus</w:t>
      </w:r>
    </w:p>
    <w:p>
      <w:pPr>
        <w:spacing w:after="200" w:line="300"/>
        <w:jc w:val="both"/>
      </w:pPr>
      <w:r>
        <w:rPr>
          <w:rFonts w:ascii="Palatino Linotype" w:cs="Palatino Linotype" w:eastAsia="Palatino Linotype" w:hAnsi="Palatino Linotype"/>
          <w:sz w:val="22"/>
          <w:szCs w:val="22"/>
        </w:rPr>
        <w:t xml:space="preserve">This paper supports and constrains:</w:t>
      </w:r>
    </w:p>
    <w:p>
      <w:pPr>
        <w:pStyle w:val="ListParagraph"/>
        <w:numPr>
          <w:ilvl w:val="0"/>
          <w:numId w:val="1"/>
        </w:numPr>
        <w:spacing w:after="120"/>
      </w:pPr>
      <w:r>
        <w:rPr>
          <w:rFonts w:ascii="Palatino Linotype" w:cs="Palatino Linotype" w:eastAsia="Palatino Linotype" w:hAnsi="Palatino Linotype"/>
          <w:sz w:val="22"/>
          <w:szCs w:val="22"/>
        </w:rPr>
        <w:t xml:space="preserve">Phase Vacuum Structure (Paper 40), by making its finiteness explicit rather than assumed</w:t>
      </w:r>
    </w:p>
    <w:p>
      <w:pPr>
        <w:pStyle w:val="ListParagraph"/>
        <w:numPr>
          <w:ilvl w:val="0"/>
          <w:numId w:val="1"/>
        </w:numPr>
        <w:spacing w:after="120"/>
      </w:pPr>
      <w:r>
        <w:rPr>
          <w:rFonts w:ascii="Palatino Linotype" w:cs="Palatino Linotype" w:eastAsia="Palatino Linotype" w:hAnsi="Palatino Linotype"/>
          <w:sz w:val="22"/>
          <w:szCs w:val="22"/>
        </w:rPr>
        <w:t xml:space="preserve">Functional Quantization of Φ (Paper 41), whose mode expansions inherit the admissible-sector restriction derived here</w:t>
      </w:r>
    </w:p>
    <w:p>
      <w:pPr>
        <w:pStyle w:val="ListParagraph"/>
        <w:numPr>
          <w:ilvl w:val="0"/>
          <w:numId w:val="1"/>
        </w:numPr>
        <w:spacing w:after="120"/>
      </w:pPr>
      <w:r>
        <w:rPr>
          <w:rFonts w:ascii="Palatino Linotype" w:cs="Palatino Linotype" w:eastAsia="Palatino Linotype" w:hAnsi="Palatino Linotype"/>
          <w:sz w:val="22"/>
          <w:szCs w:val="22"/>
        </w:rPr>
        <w:t xml:space="preserve">Cosmological dynamics (Papers 38–39), for which a finite, non-cancelled ρ_vac is a direct input</w:t>
      </w:r>
    </w:p>
    <w:p>
      <w:pPr>
        <w:pStyle w:val="ListParagraph"/>
        <w:numPr>
          <w:ilvl w:val="0"/>
          <w:numId w:val="1"/>
        </w:numPr>
        <w:spacing w:after="120"/>
      </w:pPr>
      <w:r>
        <w:rPr>
          <w:rFonts w:ascii="Palatino Linotype" w:cs="Palatino Linotype" w:eastAsia="Palatino Linotype" w:hAnsi="Palatino Linotype"/>
          <w:sz w:val="22"/>
          <w:szCs w:val="22"/>
        </w:rPr>
        <w:t xml:space="preserve">Topological sector decomposition (Paper 10), which supplies the admissibility structure used throughout</w:t>
      </w:r>
    </w:p>
    <w:p>
      <w:pPr>
        <w:spacing w:after="300" w:before="300"/>
        <w:jc w:val="center"/>
      </w:pPr>
      <w:r>
        <w:rPr>
          <w:rFonts w:ascii="Palatino Linotype" w:cs="Palatino Linotype" w:eastAsia="Palatino Linotype" w:hAnsi="Palatino Linotype"/>
          <w:color w:val="C9A227"/>
          <w:sz w:val="22"/>
          <w:szCs w:val="22"/>
        </w:rPr>
        <w:t xml:space="preserve">⸻</w:t>
      </w:r>
    </w:p>
    <w:p>
      <w:pPr>
        <w:pStyle w:val="Heading1"/>
        <w:pBdr>
          <w:bottom w:val="single" w:color="C9A227" w:sz="6" w:space="4"/>
        </w:pBdr>
        <w:spacing w:after="200" w:before="400"/>
      </w:pPr>
      <w:r>
        <w:rPr>
          <w:rFonts w:ascii="Arial" w:cs="Arial" w:eastAsia="Arial" w:hAnsi="Arial"/>
          <w:b/>
          <w:bCs/>
          <w:color w:val="0B1F3A"/>
          <w:sz w:val="26"/>
          <w:szCs w:val="26"/>
        </w:rPr>
        <w:t xml:space="preserve">11. Conclusion</w:t>
      </w:r>
    </w:p>
    <w:p>
      <w:pPr>
        <w:spacing w:after="200" w:line="300"/>
        <w:jc w:val="both"/>
      </w:pPr>
      <w:r>
        <w:rPr>
          <w:rFonts w:ascii="Palatino Linotype" w:cs="Palatino Linotype" w:eastAsia="Palatino Linotype" w:hAnsi="Palatino Linotype"/>
          <w:sz w:val="22"/>
          <w:szCs w:val="22"/>
        </w:rPr>
        <w:t xml:space="preserve">We have shown that:</w:t>
      </w:r>
    </w:p>
    <w:p>
      <w:pPr>
        <w:pStyle w:val="ListParagraph"/>
        <w:numPr>
          <w:ilvl w:val="0"/>
          <w:numId w:val="1"/>
        </w:numPr>
        <w:spacing w:after="120"/>
      </w:pPr>
      <w:r>
        <w:rPr>
          <w:rFonts w:ascii="Palatino Linotype" w:cs="Palatino Linotype" w:eastAsia="Palatino Linotype" w:hAnsi="Palatino Linotype"/>
          <w:sz w:val="22"/>
          <w:szCs w:val="22"/>
        </w:rPr>
        <w:t xml:space="preserve">the divergence obtained by summing zero-point energy over all modes is an artifact of ignoring admissibility, not a property of the phase vacuum;</w:t>
      </w:r>
    </w:p>
    <w:p>
      <w:pPr>
        <w:pStyle w:val="ListParagraph"/>
        <w:numPr>
          <w:ilvl w:val="0"/>
          <w:numId w:val="1"/>
        </w:numPr>
        <w:spacing w:after="120"/>
      </w:pPr>
      <w:r>
        <w:rPr>
          <w:rFonts w:ascii="Palatino Linotype" w:cs="Palatino Linotype" w:eastAsia="Palatino Linotype" w:hAnsi="Palatino Linotype"/>
          <w:sz w:val="22"/>
          <w:szCs w:val="22"/>
        </w:rPr>
        <w:t xml:space="preserve">imposing 𝒜[Φ] = 0 restricts the vacuum construction to a sector on which V is bounded below, making ρ_vac = V(Φ_0) finite by construction;</w:t>
      </w:r>
    </w:p>
    <w:p>
      <w:pPr>
        <w:pStyle w:val="ListParagraph"/>
        <w:numPr>
          <w:ilvl w:val="0"/>
          <w:numId w:val="1"/>
        </w:numPr>
        <w:spacing w:after="120"/>
      </w:pPr>
      <w:r>
        <w:rPr>
          <w:rFonts w:ascii="Palatino Linotype" w:cs="Palatino Linotype" w:eastAsia="Palatino Linotype" w:hAnsi="Palatino Linotype"/>
          <w:sz w:val="22"/>
          <w:szCs w:val="22"/>
        </w:rPr>
        <w:t xml:space="preserve">vacuum degeneracy (multiplicity of ground states) and vacuum energy magnitude (value at those ground states) are independent properties, and conflating them is not supported by the theory;</w:t>
      </w:r>
    </w:p>
    <w:p>
      <w:pPr>
        <w:pStyle w:val="ListParagraph"/>
        <w:numPr>
          <w:ilvl w:val="0"/>
          <w:numId w:val="1"/>
        </w:numPr>
        <w:spacing w:after="120"/>
      </w:pPr>
      <w:r>
        <w:rPr>
          <w:rFonts w:ascii="Palatino Linotype" w:cs="Palatino Linotype" w:eastAsia="Palatino Linotype" w:hAnsi="Palatino Linotype"/>
          <w:sz w:val="22"/>
          <w:szCs w:val="22"/>
        </w:rPr>
        <w:t xml:space="preserve">fluctuations around the vacuum are bounded by the curvature of V and do not constitute an extractable energy reservoir.</w:t>
      </w:r>
    </w:p>
    <w:p>
      <w:pPr>
        <w:spacing w:after="200" w:line="300"/>
        <w:jc w:val="both"/>
      </w:pPr>
      <w:r>
        <w:rPr>
          <w:rFonts w:ascii="Palatino Linotype" w:cs="Palatino Linotype" w:eastAsia="Palatino Linotype" w:hAnsi="Palatino Linotype"/>
          <w:sz w:val="22"/>
          <w:szCs w:val="22"/>
        </w:rPr>
        <w:t xml:space="preserve"/>
      </w:r>
    </w:p>
    <w:tbl>
      <w:tblPr>
        <w:tblW w:type="pct" w:w="100%"/>
        <w:tblBorders>
          <w:top w:val="single" w:color="0B1F3A" w:sz="8"/>
          <w:left w:val="single" w:color="0B1F3A" w:sz="8"/>
          <w:bottom w:val="single" w:color="0B1F3A" w:sz="8"/>
          <w:right w:val="single" w:color="0B1F3A" w:sz="8"/>
          <w:insideH w:val="single" w:color="auto" w:sz="4"/>
          <w:insideV w:val="single" w:color="auto" w:sz="4"/>
        </w:tblBorders>
      </w:tblPr>
      <w:tblGrid>
        <w:gridCol w:w="100"/>
      </w:tblGrid>
      <w:tr>
        <w:tc>
          <w:tcPr>
            <w:shd w:fill="F5EFDD" w:val="clear"/>
            <w:tcMar>
              <w:top w:type="dxa" w:w="200"/>
              <w:left w:type="dxa" w:w="300"/>
              <w:bottom w:type="dxa" w:w="200"/>
              <w:right w:type="dxa" w:w="300"/>
            </w:tcMar>
            <w:vAlign w:val="center"/>
          </w:tcPr>
          <w:p>
            <w:pPr>
              <w:jc w:val="center"/>
            </w:pPr>
            <w:r>
              <w:rPr>
                <w:rFonts w:ascii="Palatino Linotype" w:cs="Palatino Linotype" w:eastAsia="Palatino Linotype" w:hAnsi="Palatino Linotype"/>
                <w:i/>
                <w:iCs/>
                <w:color w:val="0B1F3A"/>
                <w:sz w:val="22"/>
                <w:szCs w:val="22"/>
              </w:rPr>
              <w:t xml:space="preserve">The phase vacuum is finite because it is constrained, not because its infinities have been hidden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4"/>
      </w:pBdr>
      <w:jc w:val="center"/>
    </w:pPr>
    <w:r>
      <w:rPr>
        <w:rFonts w:ascii="Arial" w:cs="Arial" w:eastAsia="Arial" w:hAnsi="Arial"/>
        <w:color w:val="0B1F3A"/>
        <w:sz w:val="16"/>
        <w:szCs w:val="16"/>
      </w:rPr>
      <w:t xml:space="preserve">Paper 40A  ·  Vacuum Energy Regularization via Admissibility  ·  </w:t>
    </w:r>
    <w:r>
      <w:rPr>
        <w:rFonts w:ascii="Arial" w:cs="Arial" w:eastAsia="Arial" w:hAnsi="Arial"/>
        <w:color w:val="C9A22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227" w:sz="4" w:space="4"/>
      </w:pBdr>
      <w:jc w:val="right"/>
    </w:pPr>
    <w:r>
      <w:rPr>
        <w:rFonts w:ascii="Arial" w:cs="Arial" w:eastAsia="Arial" w:hAnsi="Arial"/>
        <w:b/>
        <w:bCs/>
        <w:color w:val="0B1F3A"/>
        <w:sz w:val="16"/>
        <w:szCs w:val="16"/>
      </w:rPr>
      <w:t xml:space="preserve">DUST LLC  ·  Φ-WAVE THEORY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2026-07-21T08:32:57.572Z</dcterms:created>
  <dcterms:modified xsi:type="dcterms:W3CDTF">2026-07-21T08:32:57.600Z</dcterms:modified>
</cp:coreProperties>
</file>

<file path=docProps/custom.xml><?xml version="1.0" encoding="utf-8"?>
<Properties xmlns="http://schemas.openxmlformats.org/officeDocument/2006/custom-properties" xmlns:vt="http://schemas.openxmlformats.org/officeDocument/2006/docPropsVTypes"/>
</file>