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B8912F"/>
          <w:sz w:val="18"/>
          <w:szCs w:val="18"/>
        </w:rPr>
        <w:t xml:space="preserve">PHASE THEORY TECHNICAL NOTE · PTN-01</w:t>
      </w:r>
    </w:p>
    <w:p>
      <w:pPr>
        <w:spacing w:after="120"/>
      </w:pPr>
      <w:r>
        <w:rPr>
          <w:rFonts w:ascii="Arial" w:cs="Arial" w:eastAsia="Arial" w:hAnsi="Arial"/>
          <w:b/>
          <w:bCs/>
          <w:color w:val="0B1F3A"/>
          <w:sz w:val="34"/>
          <w:szCs w:val="34"/>
        </w:rPr>
        <w:t xml:space="preserve">On the Non-Existence of a Universal Positive Geometry for Phase Theory</w:t>
      </w:r>
    </w:p>
    <w:p>
      <w:pPr>
        <w:spacing w:after="60"/>
      </w:pPr>
      <w:r>
        <w:rPr>
          <w:rFonts w:ascii="Palatino Linotype" w:cs="Palatino Linotype" w:eastAsia="Palatino Linotype" w:hAnsi="Palatino Linotype"/>
          <w:i/>
          <w:iCs/>
          <w:color w:val="5A5A5A"/>
          <w:sz w:val="22"/>
          <w:szCs w:val="22"/>
        </w:rPr>
        <w:t xml:space="preserve">M. Brownlee, Dust LLC</w:t>
      </w:r>
    </w:p>
    <w:p>
      <w:pPr>
        <w:spacing w:after="300"/>
      </w:pPr>
      <w:r>
        <w:rPr>
          <w:rFonts w:ascii="Palatino Linotype" w:cs="Palatino Linotype" w:eastAsia="Palatino Linotype" w:hAnsi="Palatino Linotype"/>
          <w:color w:val="5A5A5A"/>
          <w:sz w:val="20"/>
          <w:szCs w:val="20"/>
        </w:rPr>
        <w:t xml:space="preserve">July 2026</w:t>
      </w:r>
    </w:p>
    <w:p>
      <w:pPr>
        <w:pStyle w:val="Heading2"/>
        <w:spacing w:after="120" w:before="260"/>
      </w:pPr>
      <w:r>
        <w:rPr>
          <w:rFonts w:ascii="Arial" w:cs="Arial" w:eastAsia="Arial" w:hAnsi="Arial"/>
          <w:b/>
          <w:bCs/>
          <w:color w:val="0B1F3A"/>
          <w:sz w:val="22"/>
          <w:szCs w:val="22"/>
        </w:rPr>
        <w:t xml:space="preserve">Abstract</w:t>
      </w:r>
    </w:p>
    <w:p>
      <w:pPr>
        <w:spacing w:after="160" w:line="276"/>
        <w:jc w:val="both"/>
      </w:pPr>
      <w:r>
        <w:rPr>
          <w:rFonts w:ascii="Palatino Linotype" w:cs="Palatino Linotype" w:eastAsia="Palatino Linotype" w:hAnsi="Palatino Linotype"/>
          <w:i w:val="false"/>
          <w:iCs w:val="false"/>
          <w:sz w:val="22"/>
          <w:szCs w:val="22"/>
        </w:rPr>
        <w:t xml:space="preserve">We examine whether Phase Theory — the gauged nonlinear sigma model with target T = U(1) × SU(2) × SU(3) underlying the Dust LLC theoretical programme — admits a positive-geometry construction in the sense of Arkani-Hamed et al., under which physical observables would arise as the canonical form of a geometric object in a kinematic charge space rather than from the phase-inconsistency functional directly. We formulate four necessary conditions for such a construction, test them against the theory's phase-stiffness tensor K_ab and topological charge lattice Λ, and show that the unlinked sector fails the boundary–degeneration condition: the Killing-form-induced pairing on Λ is block-diagonal across gauge factors, while physical factorization channels can mix them. We trace this to the absence of an integrable structure (no Lax pair) or fixed point in the theory's dynamics, in contrast to planar N=4 super Yang-Mills, whose exceptional symmetry is what permits the amplituhedron construction. We conclude that a universal Phase-Theory polytope is not realizable under Axioms 1–5 as currently stated, and specify the structural addition — provisionally, Axiom 6 (Combinatorial Rigidity) — that would be required.</w:t>
      </w:r>
    </w:p>
    <w:p>
      <w:pPr>
        <w:pStyle w:val="Heading1"/>
        <w:pBdr>
          <w:bottom w:val="single" w:color="B8912F" w:sz="6" w:space="4"/>
        </w:pBdr>
        <w:spacing w:after="160" w:before="360"/>
      </w:pPr>
      <w:r>
        <w:rPr>
          <w:rFonts w:ascii="Arial" w:cs="Arial" w:eastAsia="Arial" w:hAnsi="Arial"/>
          <w:b/>
          <w:bCs/>
          <w:color w:val="0B1F3A"/>
          <w:sz w:val="26"/>
          <w:szCs w:val="26"/>
        </w:rPr>
        <w:t xml:space="preserve">1. Motivation</w:t>
      </w:r>
    </w:p>
    <w:p>
      <w:pPr>
        <w:spacing w:after="160" w:line="276"/>
        <w:jc w:val="both"/>
      </w:pPr>
      <w:r>
        <w:rPr>
          <w:rFonts w:ascii="Palatino Linotype" w:cs="Palatino Linotype" w:eastAsia="Palatino Linotype" w:hAnsi="Palatino Linotype"/>
          <w:i w:val="false"/>
          <w:iCs w:val="false"/>
          <w:sz w:val="22"/>
          <w:szCs w:val="22"/>
        </w:rPr>
        <w:t xml:space="preserve">Positive-geometry constructions (the amplituhedron, the kinematic associahedron, the cosmological polytope) derive physical observables — scattering amplitudes, wavefunction coefficients — as canonical forms of geometric regions defined by positivity conditions on a kinematic space, without reference to a spacetime Lagrangian or Hamiltonian evolution. Since Phase Theory already treats spacetime geometry as emergent from a phase substrate Φ, and elsewhere treats 3-geometry constraint data as primary with time evolution secondary, it is natural to ask whether Phase Theory observables — MHQ-GBS amplitudes, GBFC complexity invariants — could similarly be read off as boundary data of a “Φ-polytope” in a configuration space built from the theory's topological charges.</w:t>
      </w:r>
    </w:p>
    <w:p>
      <w:pPr>
        <w:pStyle w:val="Heading1"/>
        <w:pBdr>
          <w:bottom w:val="single" w:color="B8912F" w:sz="6" w:space="4"/>
        </w:pBdr>
        <w:spacing w:after="160" w:before="360"/>
      </w:pPr>
      <w:r>
        <w:rPr>
          <w:rFonts w:ascii="Arial" w:cs="Arial" w:eastAsia="Arial" w:hAnsi="Arial"/>
          <w:b/>
          <w:bCs/>
          <w:color w:val="0B1F3A"/>
          <w:sz w:val="26"/>
          <w:szCs w:val="26"/>
        </w:rPr>
        <w:t xml:space="preserve">2. Necessary Conditions for a Positive Geometry</w:t>
      </w:r>
    </w:p>
    <w:p>
      <w:pPr>
        <w:spacing w:after="160" w:line="276"/>
        <w:jc w:val="both"/>
      </w:pPr>
      <w:r>
        <w:rPr>
          <w:rFonts w:ascii="Palatino Linotype" w:cs="Palatino Linotype" w:eastAsia="Palatino Linotype" w:hAnsi="Palatino Linotype"/>
          <w:i w:val="false"/>
          <w:iCs w:val="false"/>
          <w:sz w:val="22"/>
          <w:szCs w:val="22"/>
        </w:rPr>
        <w:t xml:space="preserve">Given a candidate kinematic space Κ and a pairing ⟨·,·⟩ on it, we require:</w:t>
      </w:r>
    </w:p>
    <w:p>
      <w:pPr>
        <w:pStyle w:val="ListParagraph"/>
        <w:numPr>
          <w:ilvl w:val="0"/>
          <w:numId w:val="1"/>
        </w:numPr>
        <w:spacing w:after="80"/>
      </w:pPr>
      <w:r>
        <w:rPr>
          <w:rFonts w:ascii="Palatino Linotype" w:cs="Palatino Linotype" w:eastAsia="Palatino Linotype" w:hAnsi="Palatino Linotype"/>
          <w:sz w:val="22"/>
          <w:szCs w:val="22"/>
        </w:rPr>
        <w:t xml:space="preserve">Condition 1 (Sign-definiteness on strata). Within each topological sector σ, the restriction of ⟨·,·⟩ to the sector's sublattice Λ_σ must have fixed signature on the physical region.</w:t>
      </w:r>
    </w:p>
    <w:p>
      <w:pPr>
        <w:pStyle w:val="ListParagraph"/>
        <w:numPr>
          <w:ilvl w:val="0"/>
          <w:numId w:val="1"/>
        </w:numPr>
        <w:spacing w:after="80"/>
      </w:pPr>
      <w:r>
        <w:rPr>
          <w:rFonts w:ascii="Palatino Linotype" w:cs="Palatino Linotype" w:eastAsia="Palatino Linotype" w:hAnsi="Palatino Linotype"/>
          <w:sz w:val="22"/>
          <w:szCs w:val="22"/>
        </w:rPr>
        <w:t xml:space="preserve">Condition 2 (Boundaries = degenerations). The zero locus of ⟨·,·⟩ must coincide exactly with the loci where sectors merge — i.e., with physical factorization channels, with no spurious zeros elsewhere.</w:t>
      </w:r>
    </w:p>
    <w:p>
      <w:pPr>
        <w:pStyle w:val="ListParagraph"/>
        <w:numPr>
          <w:ilvl w:val="0"/>
          <w:numId w:val="1"/>
        </w:numPr>
        <w:spacing w:after="80"/>
      </w:pPr>
      <w:r>
        <w:rPr>
          <w:rFonts w:ascii="Palatino Linotype" w:cs="Palatino Linotype" w:eastAsia="Palatino Linotype" w:hAnsi="Palatino Linotype"/>
          <w:sz w:val="22"/>
          <w:szCs w:val="22"/>
        </w:rPr>
        <w:t xml:space="preserve">Condition 3 (Compatibility under restriction). The Gram matrix of a boundary sector must be a principal submatrix (or well-defined quotient) of the parent sector's Gram matrix, so the canonical form factorizes recursively.</w:t>
      </w:r>
    </w:p>
    <w:p>
      <w:pPr>
        <w:pStyle w:val="ListParagraph"/>
        <w:numPr>
          <w:ilvl w:val="0"/>
          <w:numId w:val="1"/>
        </w:numPr>
        <w:spacing w:after="80"/>
      </w:pPr>
      <w:r>
        <w:rPr>
          <w:rFonts w:ascii="Palatino Linotype" w:cs="Palatino Linotype" w:eastAsia="Palatino Linotype" w:hAnsi="Palatino Linotype"/>
          <w:sz w:val="22"/>
          <w:szCs w:val="22"/>
        </w:rPr>
        <w:t xml:space="preserve">Condition 4 (Triangulation). The sector poset must induce a genuine triangulation of the positivity region — cells overlapping only on shared boundaries, jointly covering the region — not merely a partition.</w:t>
      </w:r>
    </w:p>
    <w:p>
      <w:pPr>
        <w:pStyle w:val="Heading1"/>
        <w:pBdr>
          <w:bottom w:val="single" w:color="B8912F" w:sz="6" w:space="4"/>
        </w:pBdr>
        <w:spacing w:after="160" w:before="360"/>
      </w:pPr>
      <w:r>
        <w:rPr>
          <w:rFonts w:ascii="Arial" w:cs="Arial" w:eastAsia="Arial" w:hAnsi="Arial"/>
          <w:b/>
          <w:bCs/>
          <w:color w:val="0B1F3A"/>
          <w:sz w:val="26"/>
          <w:szCs w:val="26"/>
        </w:rPr>
        <w:t xml:space="preserve">3. The Phase-Theory Test Case</w:t>
      </w:r>
    </w:p>
    <w:p>
      <w:pPr>
        <w:spacing w:after="160" w:line="276"/>
        <w:jc w:val="both"/>
      </w:pPr>
      <w:r>
        <w:rPr>
          <w:rFonts w:ascii="Palatino Linotype" w:cs="Palatino Linotype" w:eastAsia="Palatino Linotype" w:hAnsi="Palatino Linotype"/>
          <w:i w:val="false"/>
          <w:iCs w:val="false"/>
          <w:sz w:val="22"/>
          <w:szCs w:val="22"/>
        </w:rPr>
        <w:t xml:space="preserve">The phase-inconsistency functional is</w:t>
      </w:r>
    </w:p>
    <w:p>
      <w:pPr>
        <w:spacing w:after="160" w:before="80"/>
        <w:jc w:val="center"/>
      </w:pPr>
      <w:r>
        <w:rPr>
          <w:rFonts w:ascii="Cambria Math" w:cs="Cambria Math" w:eastAsia="Cambria Math" w:hAnsi="Cambria Math"/>
          <w:i/>
          <w:iCs/>
          <w:sz w:val="22"/>
          <w:szCs w:val="22"/>
        </w:rPr>
        <w:t xml:space="preserve">ρ(Φ, DΦ) = ½ K_ab(Φ) D_μΦᵃ D^μΦᵇ + V(Φ) + λ Tr(F_μν F^μν)</w:t>
      </w:r>
    </w:p>
    <w:p>
      <w:pPr>
        <w:spacing w:after="160" w:line="276"/>
        <w:jc w:val="both"/>
      </w:pPr>
      <w:r>
        <w:rPr>
          <w:rFonts w:ascii="Palatino Linotype" w:cs="Palatino Linotype" w:eastAsia="Palatino Linotype" w:hAnsi="Palatino Linotype"/>
          <w:i w:val="false"/>
          <w:iCs w:val="false"/>
          <w:sz w:val="22"/>
          <w:szCs w:val="22"/>
        </w:rPr>
        <w:t xml:space="preserve">with target T = U(1) × SU(2) × SU(3), giving homotopy data π₁(T) = ℤ and π₃(T) = ℤ ⊕ ℤ. The natural symmetric pairing on the unlinked charge lattice Λ = ℤ₃, induced by the Killing-form phase-stiffness tensor K_ab at the vacuum, is block-diagonal:</w:t>
      </w:r>
    </w:p>
    <w:p>
      <w:pPr>
        <w:spacing w:after="160" w:before="80"/>
        <w:jc w:val="center"/>
      </w:pPr>
      <w:r>
        <w:rPr>
          <w:rFonts w:ascii="Cambria Math" w:cs="Cambria Math" w:eastAsia="Cambria Math" w:hAnsi="Cambria Math"/>
          <w:i/>
          <w:iCs/>
          <w:sz w:val="22"/>
          <w:szCs w:val="22"/>
        </w:rPr>
        <w:t xml:space="preserve">⟨q, q′⟩_K = C(ℓ_c) · [c₁ k k′ + 4 n₂ n₂′ + 4 n₃ n₃′]</w:t>
      </w:r>
    </w:p>
    <w:p>
      <w:pPr>
        <w:spacing w:after="160" w:line="276"/>
        <w:jc w:val="both"/>
      </w:pPr>
      <w:r>
        <w:rPr>
          <w:rFonts w:ascii="Palatino Linotype" w:cs="Palatino Linotype" w:eastAsia="Palatino Linotype" w:hAnsi="Palatino Linotype"/>
          <w:i w:val="false"/>
          <w:iCs w:val="false"/>
          <w:sz w:val="22"/>
          <w:szCs w:val="22"/>
        </w:rPr>
        <w:t xml:space="preserve">for charge vectors q = (k, n₂, n₃), where c₁ is the free U(1) stiffness normalization and ℓ_c is the coherence-length regulator of Axiom 4.</w:t>
      </w:r>
    </w:p>
    <w:p>
      <w:pPr>
        <w:pStyle w:val="Heading2"/>
        <w:spacing w:after="120" w:before="260"/>
      </w:pPr>
      <w:r>
        <w:rPr>
          <w:rFonts w:ascii="Arial" w:cs="Arial" w:eastAsia="Arial" w:hAnsi="Arial"/>
          <w:b/>
          <w:bCs/>
          <w:color w:val="0B1F3A"/>
          <w:sz w:val="22"/>
          <w:szCs w:val="22"/>
        </w:rPr>
        <w:t xml:space="preserve">3.1 Verdicts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3200"/>
      </w:tblGrid>
      <w:tr>
        <w:tc>
          <w:tcPr>
            <w:tcW w:type="dxa" w:w="4500"/>
            <w:shd w:fill="0B1F3A" w:val="clear"/>
            <w:tcMar>
              <w:top w:type="dxa" w:w="80"/>
              <w:left w:type="dxa" w:w="100"/>
              <w:bottom w:type="dxa" w:w="80"/>
              <w:right w:type="dxa" w:w="100"/>
            </w:tcMar>
          </w:tcPr>
          <w:p>
            <w:r>
              <w:rPr>
                <w:rFonts w:ascii="Palatino Linotype" w:cs="Palatino Linotype" w:eastAsia="Palatino Linotype" w:hAnsi="Palatino Linotype"/>
                <w:b/>
                <w:bCs/>
                <w:color w:val="FFFFFF"/>
                <w:sz w:val="20"/>
                <w:szCs w:val="20"/>
              </w:rPr>
              <w:t xml:space="preserve">Condition</w:t>
            </w:r>
          </w:p>
        </w:tc>
        <w:tc>
          <w:tcPr>
            <w:tcW w:type="dxa" w:w="2500"/>
            <w:shd w:fill="0B1F3A" w:val="clear"/>
            <w:tcMar>
              <w:top w:type="dxa" w:w="80"/>
              <w:left w:type="dxa" w:w="100"/>
              <w:bottom w:type="dxa" w:w="80"/>
              <w:right w:type="dxa" w:w="100"/>
            </w:tcMar>
          </w:tcPr>
          <w:p>
            <w:r>
              <w:rPr>
                <w:rFonts w:ascii="Palatino Linotype" w:cs="Palatino Linotype" w:eastAsia="Palatino Linotype" w:hAnsi="Palatino Linotype"/>
                <w:b/>
                <w:bCs/>
                <w:color w:val="FFFFFF"/>
                <w:sz w:val="20"/>
                <w:szCs w:val="20"/>
              </w:rPr>
              <w:t xml:space="preserve">U(1) alone</w:t>
            </w:r>
          </w:p>
        </w:tc>
        <w:tc>
          <w:tcPr>
            <w:tcW w:type="dxa" w:w="3200"/>
            <w:shd w:fill="0B1F3A" w:val="clear"/>
            <w:tcMar>
              <w:top w:type="dxa" w:w="80"/>
              <w:left w:type="dxa" w:w="100"/>
              <w:bottom w:type="dxa" w:w="80"/>
              <w:right w:type="dxa" w:w="100"/>
            </w:tcMar>
          </w:tcPr>
          <w:p>
            <w:r>
              <w:rPr>
                <w:rFonts w:ascii="Palatino Linotype" w:cs="Palatino Linotype" w:eastAsia="Palatino Linotype" w:hAnsi="Palatino Linotype"/>
                <w:b/>
                <w:bCs/>
                <w:color w:val="FFFFFF"/>
                <w:sz w:val="20"/>
                <w:szCs w:val="20"/>
              </w:rPr>
              <w:t xml:space="preserve">U(1) × SU(2) × SU(3), unlinked</w:t>
            </w:r>
          </w:p>
        </w:tc>
      </w:tr>
      <w:tr>
        <w:tc>
          <w:tcPr>
            <w:tcW w:type="dxa" w:w="45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1. Sign-definiteness</w:t>
            </w:r>
          </w:p>
        </w:tc>
        <w:tc>
          <w:tcPr>
            <w:tcW w:type="dxa" w:w="2500"/>
            <w:tcMar>
              <w:top w:type="dxa" w:w="80"/>
              <w:left w:type="dxa" w:w="100"/>
              <w:bottom w:type="dxa" w:w="80"/>
              <w:right w:type="dxa" w:w="100"/>
            </w:tcMar>
          </w:tcPr>
          <w:p>
            <w:r>
              <w:rPr>
                <w:rFonts w:ascii="Palatino Linotype" w:cs="Palatino Linotype" w:eastAsia="Palatino Linotype" w:hAnsi="Palatino Linotype"/>
                <w:b w:val="false"/>
                <w:bCs w:val="false"/>
                <w:color w:val="1B5E20"/>
                <w:sz w:val="20"/>
                <w:szCs w:val="20"/>
              </w:rPr>
              <w:t xml:space="preserve">Satisfied</w:t>
            </w:r>
          </w:p>
        </w:tc>
        <w:tc>
          <w:tcPr>
            <w:tcW w:type="dxa" w:w="3200"/>
            <w:tcMar>
              <w:top w:type="dxa" w:w="80"/>
              <w:left w:type="dxa" w:w="100"/>
              <w:bottom w:type="dxa" w:w="80"/>
              <w:right w:type="dxa" w:w="100"/>
            </w:tcMar>
          </w:tcPr>
          <w:p>
            <w:r>
              <w:rPr>
                <w:rFonts w:ascii="Palatino Linotype" w:cs="Palatino Linotype" w:eastAsia="Palatino Linotype" w:hAnsi="Palatino Linotype"/>
                <w:b w:val="false"/>
                <w:bCs w:val="false"/>
                <w:color w:val="9B2226"/>
                <w:sz w:val="20"/>
                <w:szCs w:val="20"/>
              </w:rPr>
              <w:t xml:space="preserve">Mixed (unequal coefficients c₁ vs. 4 across factors)</w:t>
            </w:r>
          </w:p>
        </w:tc>
      </w:tr>
      <w:tr>
        <w:tc>
          <w:tcPr>
            <w:tcW w:type="dxa" w:w="45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2. Boundaries = degenerations</w:t>
            </w:r>
          </w:p>
        </w:tc>
        <w:tc>
          <w:tcPr>
            <w:tcW w:type="dxa" w:w="2500"/>
            <w:tcMar>
              <w:top w:type="dxa" w:w="80"/>
              <w:left w:type="dxa" w:w="100"/>
              <w:bottom w:type="dxa" w:w="80"/>
              <w:right w:type="dxa" w:w="100"/>
            </w:tcMar>
          </w:tcPr>
          <w:p>
            <w:r>
              <w:rPr>
                <w:rFonts w:ascii="Palatino Linotype" w:cs="Palatino Linotype" w:eastAsia="Palatino Linotype" w:hAnsi="Palatino Linotype"/>
                <w:b w:val="false"/>
                <w:bCs w:val="false"/>
                <w:color w:val="1B5E20"/>
                <w:sz w:val="20"/>
                <w:szCs w:val="20"/>
              </w:rPr>
              <w:t xml:space="preserve">Satisfied</w:t>
            </w:r>
          </w:p>
        </w:tc>
        <w:tc>
          <w:tcPr>
            <w:tcW w:type="dxa" w:w="3200"/>
            <w:tcMar>
              <w:top w:type="dxa" w:w="80"/>
              <w:left w:type="dxa" w:w="100"/>
              <w:bottom w:type="dxa" w:w="80"/>
              <w:right w:type="dxa" w:w="100"/>
            </w:tcMar>
          </w:tcPr>
          <w:p>
            <w:r>
              <w:rPr>
                <w:rFonts w:ascii="Palatino Linotype" w:cs="Palatino Linotype" w:eastAsia="Palatino Linotype" w:hAnsi="Palatino Linotype"/>
                <w:b w:val="false"/>
                <w:bCs w:val="false"/>
                <w:color w:val="9B2226"/>
                <w:sz w:val="20"/>
                <w:szCs w:val="20"/>
              </w:rPr>
              <w:t xml:space="preserve">Fails — physical splits mix U(1)/SU(N) quantum numbers that the block-diagonal pairing treats as orthogonal</w:t>
            </w:r>
          </w:p>
        </w:tc>
      </w:tr>
      <w:tr>
        <w:tc>
          <w:tcPr>
            <w:tcW w:type="dxa" w:w="45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3. Restriction compatibility</w:t>
            </w:r>
          </w:p>
        </w:tc>
        <w:tc>
          <w:tcPr>
            <w:tcW w:type="dxa" w:w="2500"/>
            <w:tcMar>
              <w:top w:type="dxa" w:w="80"/>
              <w:left w:type="dxa" w:w="100"/>
              <w:bottom w:type="dxa" w:w="80"/>
              <w:right w:type="dxa" w:w="100"/>
            </w:tcMar>
          </w:tcPr>
          <w:p>
            <w:r>
              <w:rPr>
                <w:rFonts w:ascii="Palatino Linotype" w:cs="Palatino Linotype" w:eastAsia="Palatino Linotype" w:hAnsi="Palatino Linotype"/>
                <w:b w:val="false"/>
                <w:bCs w:val="false"/>
                <w:color w:val="1B5E20"/>
                <w:sz w:val="20"/>
                <w:szCs w:val="20"/>
              </w:rPr>
              <w:t xml:space="preserve">Satisfied</w:t>
            </w:r>
          </w:p>
        </w:tc>
        <w:tc>
          <w:tcPr>
            <w:tcW w:type="dxa" w:w="3200"/>
            <w:tcMar>
              <w:top w:type="dxa" w:w="80"/>
              <w:left w:type="dxa" w:w="100"/>
              <w:bottom w:type="dxa" w:w="80"/>
              <w:right w:type="dxa" w:w="100"/>
            </w:tcMar>
          </w:tcPr>
          <w:p>
            <w:r>
              <w:rPr>
                <w:rFonts w:ascii="Palatino Linotype" w:cs="Palatino Linotype" w:eastAsia="Palatino Linotype" w:hAnsi="Palatino Linotype"/>
                <w:b w:val="false"/>
                <w:bCs w:val="false"/>
                <w:color w:val="1B5E20"/>
                <w:sz w:val="20"/>
                <w:szCs w:val="20"/>
              </w:rPr>
              <w:t xml:space="preserve">Satisfied (component-vanishing boundaries give principal submatrices)</w:t>
            </w:r>
          </w:p>
        </w:tc>
      </w:tr>
      <w:tr>
        <w:tc>
          <w:tcPr>
            <w:tcW w:type="dxa" w:w="45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4. Triangulation</w:t>
            </w:r>
          </w:p>
        </w:tc>
        <w:tc>
          <w:tcPr>
            <w:tcW w:type="dxa" w:w="2500"/>
            <w:tcMar>
              <w:top w:type="dxa" w:w="80"/>
              <w:left w:type="dxa" w:w="100"/>
              <w:bottom w:type="dxa" w:w="80"/>
              <w:right w:type="dxa" w:w="100"/>
            </w:tcMar>
          </w:tcPr>
          <w:p>
            <w:r>
              <w:rPr>
                <w:rFonts w:ascii="Palatino Linotype" w:cs="Palatino Linotype" w:eastAsia="Palatino Linotype" w:hAnsi="Palatino Linotype"/>
                <w:b w:val="false"/>
                <w:bCs w:val="false"/>
                <w:color w:val="1B5E20"/>
                <w:sz w:val="20"/>
                <w:szCs w:val="20"/>
              </w:rPr>
              <w:t xml:space="preserve">Satisfied (trivial)</w:t>
            </w:r>
          </w:p>
        </w:tc>
        <w:tc>
          <w:tcPr>
            <w:tcW w:type="dxa" w:w="3200"/>
            <w:tcMar>
              <w:top w:type="dxa" w:w="80"/>
              <w:left w:type="dxa" w:w="100"/>
              <w:bottom w:type="dxa" w:w="80"/>
              <w:right w:type="dxa" w:w="100"/>
            </w:tcMar>
          </w:tcPr>
          <w:p>
            <w:r>
              <w:rPr>
                <w:rFonts w:ascii="Palatino Linotype" w:cs="Palatino Linotype" w:eastAsia="Palatino Linotype" w:hAnsi="Palatino Linotype"/>
                <w:b w:val="false"/>
                <w:bCs w:val="false"/>
                <w:color w:val="1B5E20"/>
                <w:sz w:val="20"/>
                <w:szCs w:val="20"/>
              </w:rPr>
              <w:t xml:space="preserve">Formally satisfied, physically empty — encodes no dynamics</w:t>
            </w:r>
          </w:p>
        </w:tc>
      </w:tr>
    </w:tbl>
    <w:p>
      <w:pPr>
        <w:spacing w:after="160" w:line="276"/>
        <w:jc w:val="both"/>
      </w:pPr>
      <w:r>
        <w:rPr>
          <w:rFonts w:ascii="Palatino Linotype" w:cs="Palatino Linotype" w:eastAsia="Palatino Linotype" w:hAnsi="Palatino Linotype"/>
          <w:i w:val="false"/>
          <w:iCs w:val="false"/>
          <w:sz w:val="22"/>
          <w:szCs w:val="22"/>
        </w:rPr>
        <w:t xml:space="preserve"/>
      </w:r>
    </w:p>
    <w:p>
      <w:pPr>
        <w:spacing w:after="160" w:line="276"/>
        <w:jc w:val="both"/>
      </w:pPr>
      <w:r>
        <w:rPr>
          <w:rFonts w:ascii="Palatino Linotype" w:cs="Palatino Linotype" w:eastAsia="Palatino Linotype" w:hAnsi="Palatino Linotype"/>
          <w:i w:val="false"/>
          <w:iCs w:val="false"/>
          <w:sz w:val="22"/>
          <w:szCs w:val="22"/>
        </w:rPr>
        <w:t xml:space="preserve">The decisive failure is Condition 2. A defect with charge q = (k, n₂, n₃) can split topologically into q₁ = (k₁, n₂, 0) and q₂ = (k₂, 0, n₃) with k = k₁ + k₂, since π₃(T₁ × T₂) = π₃(T₁) ⊕ π₃(T₂) permits the decomposition. But ⟨q₁, q₂⟩ = c₁ k₁ k₂ vanishes only when one U(1) charge is zero — not at the physical splitting locus, where both k₁, k₂ may be nonzero. The pairing's zero locus and the physical factorization locus diverge.</w:t>
      </w:r>
    </w:p>
    <w:p>
      <w:pPr>
        <w:pStyle w:val="Heading1"/>
        <w:pBdr>
          <w:bottom w:val="single" w:color="B8912F" w:sz="6" w:space="4"/>
        </w:pBdr>
        <w:spacing w:after="160" w:before="360"/>
      </w:pPr>
      <w:r>
        <w:rPr>
          <w:rFonts w:ascii="Arial" w:cs="Arial" w:eastAsia="Arial" w:hAnsi="Arial"/>
          <w:b/>
          <w:bCs/>
          <w:color w:val="0B1F3A"/>
          <w:sz w:val="26"/>
          <w:szCs w:val="26"/>
        </w:rPr>
        <w:t xml:space="preserve">4. Root Cause: Kinematic Pairing vs. Dynamical Factorization</w:t>
      </w:r>
    </w:p>
    <w:p>
      <w:pPr>
        <w:spacing w:after="160" w:line="276"/>
        <w:jc w:val="both"/>
      </w:pPr>
      <w:r>
        <w:rPr>
          <w:rFonts w:ascii="Palatino Linotype" w:cs="Palatino Linotype" w:eastAsia="Palatino Linotype" w:hAnsi="Palatino Linotype"/>
          <w:i w:val="false"/>
          <w:iCs w:val="false"/>
          <w:sz w:val="22"/>
          <w:szCs w:val="22"/>
        </w:rPr>
        <w:t xml:space="preserve">The Killing form K_ab is correctly block-diagonal for a product Lie algebra; this is not a defect in the construction. The deeper issue is that factorization channels — which splits actually carry poles in the physical S-matrix — are dynamical data in Phase Theory, not kinematic data. Which splits are topologically allowed follows from the homotopy group addition law alone; which splits are dynamically realized depends on V(Φ), the phase-stiffness profile away from vacuum, the stochastic drive η, and the coherence bound. Planar N=4 super Yang-Mills evades this problem because its kinematic positivity (all ordered Grassmannian minors ≥ 0) happens to coincide with its dynamical pole structure — a coincidence attributable to maximal supersymmetry and planarity, not a generic feature of quantum field theories.</w:t>
      </w:r>
    </w:p>
    <w:p>
      <w:pPr>
        <w:spacing w:after="160" w:line="276"/>
        <w:jc w:val="both"/>
      </w:pPr>
      <w:r>
        <w:rPr>
          <w:rFonts w:ascii="Palatino Linotype" w:cs="Palatino Linotype" w:eastAsia="Palatino Linotype" w:hAnsi="Palatino Linotype"/>
          <w:i w:val="false"/>
          <w:iCs w:val="false"/>
          <w:sz w:val="22"/>
          <w:szCs w:val="22"/>
        </w:rPr>
        <w:t xml:space="preserve">We tested three candidate sources of the missing rigidity:</w:t>
      </w:r>
    </w:p>
    <w:p>
      <w:pPr>
        <w:pStyle w:val="ListParagraph"/>
        <w:numPr>
          <w:ilvl w:val="0"/>
          <w:numId w:val="1"/>
        </w:numPr>
        <w:spacing w:after="80"/>
      </w:pPr>
      <w:r>
        <w:rPr>
          <w:rFonts w:ascii="Palatino Linotype" w:cs="Palatino Linotype" w:eastAsia="Palatino Linotype" w:hAnsi="Palatino Linotype"/>
          <w:sz w:val="22"/>
          <w:szCs w:val="22"/>
        </w:rPr>
        <w:t xml:space="preserve">Integrability (Lax pair). The sigma-model sector reduces to an integrable principal chiral model only in 2D or for the U(1) factor under a sine-Gordon potential — both non-generic restrictions of the physical 4D theory with generic V. No Lax pair exists for the full functional as stated.</w:t>
      </w:r>
    </w:p>
    <w:p>
      <w:pPr>
        <w:pStyle w:val="ListParagraph"/>
        <w:numPr>
          <w:ilvl w:val="0"/>
          <w:numId w:val="1"/>
        </w:numPr>
        <w:spacing w:after="80"/>
      </w:pPr>
      <w:r>
        <w:rPr>
          <w:rFonts w:ascii="Palatino Linotype" w:cs="Palatino Linotype" w:eastAsia="Palatino Linotype" w:hAnsi="Palatino Linotype"/>
          <w:sz w:val="22"/>
          <w:szCs w:val="22"/>
        </w:rPr>
        <w:t xml:space="preserve">Maximal-symmetry fixed point. The gauge sector's UV fixed point (asymptotic freedom, g → 0) yields a free, particle-content-free theory — the wrong limit. No non-trivial RG fixed point is identified for the sigma-model sector in 4D.</w:t>
      </w:r>
    </w:p>
    <w:p>
      <w:pPr>
        <w:pStyle w:val="ListParagraph"/>
        <w:numPr>
          <w:ilvl w:val="0"/>
          <w:numId w:val="1"/>
        </w:numPr>
        <w:spacing w:after="80"/>
      </w:pPr>
      <w:r>
        <w:rPr>
          <w:rFonts w:ascii="Palatino Linotype" w:cs="Palatino Linotype" w:eastAsia="Palatino Linotype" w:hAnsi="Palatino Linotype"/>
          <w:sz w:val="22"/>
          <w:szCs w:val="22"/>
        </w:rPr>
        <w:t xml:space="preserve">Cluster structure on Λ. A skew-symmetric exchange matrix B would need to derive from a linking form on defects; in the unlinked sector this vanishes identically, leaving the cluster algebra trivial. The linked/braided sector is not developed in the current formalism.</w:t>
      </w:r>
    </w:p>
    <w:p>
      <w:pPr>
        <w:pStyle w:val="Heading1"/>
        <w:pBdr>
          <w:bottom w:val="single" w:color="B8912F" w:sz="6" w:space="4"/>
        </w:pBdr>
        <w:spacing w:after="160" w:before="360"/>
      </w:pPr>
      <w:r>
        <w:rPr>
          <w:rFonts w:ascii="Arial" w:cs="Arial" w:eastAsia="Arial" w:hAnsi="Arial"/>
          <w:b/>
          <w:bCs/>
          <w:color w:val="0B1F3A"/>
          <w:sz w:val="26"/>
          <w:szCs w:val="26"/>
        </w:rPr>
        <w:t xml:space="preserve">5. Conclusion</w:t>
      </w:r>
    </w:p>
    <w:p>
      <w:pPr>
        <w:spacing w:after="160" w:line="276"/>
        <w:jc w:val="both"/>
      </w:pPr>
      <w:r>
        <w:rPr>
          <w:rFonts w:ascii="Palatino Linotype" w:cs="Palatino Linotype" w:eastAsia="Palatino Linotype" w:hAnsi="Palatino Linotype"/>
          <w:i w:val="false"/>
          <w:iCs w:val="false"/>
          <w:sz w:val="22"/>
          <w:szCs w:val="22"/>
        </w:rPr>
        <w:t xml:space="preserve">Under Axioms 1–5 as currently stated, Phase Theory does not admit a universal positive geometry: the theory's generality — T, K_ab, and V(Φ) are inputs rather than outputs of the axioms — is structurally incompatible with the rigidity that positive-geometry constructions require. This is a direct consequence of the following dependency chain:</w:t>
      </w:r>
    </w:p>
    <w:p>
      <w:pPr>
        <w:spacing w:after="160" w:line="276"/>
        <w:jc w:val="both"/>
      </w:pPr>
      <w:r>
        <w:rPr>
          <w:rFonts w:ascii="Palatino Linotype" w:cs="Palatino Linotype" w:eastAsia="Palatino Linotype" w:hAnsi="Palatino Linotype"/>
          <w:i/>
          <w:iCs/>
          <w:sz w:val="22"/>
          <w:szCs w:val="22"/>
        </w:rPr>
        <w:t xml:space="preserve">no target rigidity  →  no Lax pair  →  no fixed universal boundary structure  →  Condition 2 fails  →  no universal Φ-polytope (sector- or solution-dependent moduli spaces at best).</w:t>
      </w:r>
    </w:p>
    <w:p>
      <w:pPr>
        <w:spacing w:after="160" w:line="276"/>
        <w:jc w:val="both"/>
      </w:pPr>
      <w:r>
        <w:rPr>
          <w:rFonts w:ascii="Palatino Linotype" w:cs="Palatino Linotype" w:eastAsia="Palatino Linotype" w:hAnsi="Palatino Linotype"/>
          <w:i w:val="false"/>
          <w:iCs w:val="false"/>
          <w:sz w:val="22"/>
          <w:szCs w:val="22"/>
        </w:rPr>
        <w:t xml:space="preserve">This is a negative result in the same sense that non-integrability results are negative elsewhere in field theory: it does not indicate an error in Phase Theory, but clarifies the theory's position relative to the exceptional-symmetry class of theories (planar N=4 SYM, bi-adjoint scalar) for which positive-geometry methods are currently known to apply.</w:t>
      </w:r>
    </w:p>
    <w:p>
      <w:pPr>
        <w:pStyle w:val="Heading1"/>
        <w:pBdr>
          <w:bottom w:val="single" w:color="B8912F" w:sz="6" w:space="4"/>
        </w:pBdr>
        <w:spacing w:after="160" w:before="360"/>
      </w:pPr>
      <w:r>
        <w:rPr>
          <w:rFonts w:ascii="Arial" w:cs="Arial" w:eastAsia="Arial" w:hAnsi="Arial"/>
          <w:b/>
          <w:bCs/>
          <w:color w:val="0B1F3A"/>
          <w:sz w:val="26"/>
          <w:szCs w:val="26"/>
        </w:rPr>
        <w:t xml:space="preserve">6. Open Direction: Axiom 6 (Combinatorial Rigidity)</w:t>
      </w:r>
    </w:p>
    <w:p>
      <w:pPr>
        <w:spacing w:after="160" w:line="276"/>
        <w:jc w:val="both"/>
      </w:pPr>
      <w:r>
        <w:rPr>
          <w:rFonts w:ascii="Palatino Linotype" w:cs="Palatino Linotype" w:eastAsia="Palatino Linotype" w:hAnsi="Palatino Linotype"/>
          <w:i w:val="false"/>
          <w:iCs w:val="false"/>
          <w:sz w:val="22"/>
          <w:szCs w:val="22"/>
        </w:rPr>
        <w:t xml:space="preserve">A candidate structural addition — not derived from Axioms 1–5, but posited in the manner that maximal supersymmetry was posited prior to the discovery of the amplituhedron — is:</w:t>
      </w:r>
    </w:p>
    <w:p>
      <w:pPr>
        <w:spacing w:after="160" w:line="276"/>
        <w:jc w:val="both"/>
      </w:pPr>
      <w:r>
        <w:rPr>
          <w:rFonts w:ascii="Palatino Linotype" w:cs="Palatino Linotype" w:eastAsia="Palatino Linotype" w:hAnsi="Palatino Linotype"/>
          <w:i/>
          <w:iCs/>
          <w:sz w:val="22"/>
          <w:szCs w:val="22"/>
        </w:rPr>
        <w:t xml:space="preserve">Axiom 6 (Combinatorial Rigidity): the topological sector poset admits a cluster-algebra structure, with the phase-inconsistency functional acting as a cluster Hamiltonian.</w:t>
      </w:r>
    </w:p>
    <w:p>
      <w:pPr>
        <w:spacing w:after="160" w:line="276"/>
        <w:jc w:val="both"/>
      </w:pPr>
      <w:r>
        <w:rPr>
          <w:rFonts w:ascii="Palatino Linotype" w:cs="Palatino Linotype" w:eastAsia="Palatino Linotype" w:hAnsi="Palatino Linotype"/>
          <w:i w:val="false"/>
          <w:iCs w:val="false"/>
          <w:sz w:val="22"/>
          <w:szCs w:val="22"/>
        </w:rPr>
        <w:t xml:space="preserve">This is undeveloped and unmotivated independent of the goal of enabling a positive geometry. Two considerations bear on future work: (i) the cluster check was inconclusive rather than negative — it is trivial only in the unlinked sector, so any viable rigidity axiom likely must be stated over the full charge lattice including linked/braided defects, where the antisymmetric linking-number pairing is already known to exist (Sec. IV.4 of the Phase Theory preprint) but is not yet structured as an exchange matrix; and (ii) whether Axiom 6 is independently well-motivated, rather than ad hoc, remains open and is left for future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M. Brownlee · Dust LLC · </w:t>
    </w:r>
    <w:r>
      <w:rPr>
        <w:rFonts w:ascii="Arial" w:cs="Arial" w:eastAsia="Arial" w:hAnsi="Arial"/>
        <w:color w:val="5A5A5A"/>
        <w:sz w:val="16"/>
        <w:szCs w:val="16"/>
      </w:rPr>
      <w:t xml:space="preserve">PTN-01</w:t>
    </w:r>
    <w:r>
      <w:rPr>
        <w:rFonts w:ascii="Arial" w:cs="Arial" w:eastAsia="Arial" w:hAnsi="Arial"/>
        <w:color w:val="5A5A5A"/>
        <w:sz w:val="16"/>
        <w:szCs w:val="16"/>
      </w:rPr>
      <w:t xml:space="preserve">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12F" w:sz="4" w:space="4"/>
      </w:pBdr>
    </w:pPr>
    <w:r>
      <w:rPr>
        <w:rFonts w:ascii="Arial" w:cs="Arial" w:eastAsia="Arial" w:hAnsi="Arial"/>
        <w:b/>
        <w:bCs/>
        <w:color w:val="0B1F3A"/>
        <w:sz w:val="16"/>
        <w:szCs w:val="16"/>
      </w:rPr>
      <w:t xml:space="preserve">DUST LLC</w:t>
    </w:r>
    <w:r>
      <w:rPr>
        <w:rFonts w:ascii="Arial" w:cs="Arial" w:eastAsia="Arial" w:hAnsi="Arial"/>
        <w:color w:val="5A5A5A"/>
        <w:sz w:val="16"/>
        <w:szCs w:val="16"/>
      </w:rPr>
      <w:t xml:space="preserve">   ·   PHASE THEORY TECHNICAL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2026-07-19T07:22:25.573Z</dcterms:created>
  <dcterms:modified xsi:type="dcterms:W3CDTF">2026-07-19T07:22:25.586Z</dcterms:modified>
</cp:coreProperties>
</file>

<file path=docProps/custom.xml><?xml version="1.0" encoding="utf-8"?>
<Properties xmlns="http://schemas.openxmlformats.org/officeDocument/2006/custom-properties" xmlns:vt="http://schemas.openxmlformats.org/officeDocument/2006/docPropsVTypes"/>
</file>