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C9A84C"/>
          <w:sz w:val="20"/>
          <w:szCs w:val="20"/>
        </w:rPr>
        <w:t xml:space="preserve">SR-7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B1F3A"/>
          <w:sz w:val="34"/>
          <w:szCs w:val="34"/>
        </w:rPr>
        <w:t xml:space="preserve">NMR Spin-Ensemble Scrambling as a Dynamical Probe of the Spectron Finite-N Form Factor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3A3A3A"/>
          <w:sz w:val="24"/>
          <w:szCs w:val="24"/>
        </w:rPr>
        <w:t xml:space="preserve">A Deployment Note for Spectral Resonance String Mechanics (SRSM)</w:t>
      </w:r>
    </w:p>
    <w:p>
      <w:pPr>
        <w:spacing w:after="40"/>
        <w:jc w:val="center"/>
      </w:pPr>
      <w:r>
        <w:rPr>
          <w:rFonts w:ascii="Palatino Linotype" w:cs="Palatino Linotype" w:eastAsia="Palatino Linotype" w:hAnsi="Palatino Linotype"/>
          <w:b/>
          <w:bCs/>
          <w:sz w:val="24"/>
          <w:szCs w:val="24"/>
        </w:rPr>
        <w:t xml:space="preserve">M. Brownlee</w:t>
      </w:r>
    </w:p>
    <w:p>
      <w:pPr>
        <w:spacing w:after="40"/>
        <w:jc w:val="center"/>
      </w:pPr>
      <w:r>
        <w:rPr>
          <w:rFonts w:ascii="Palatino Linotype" w:cs="Palatino Linotype" w:eastAsia="Palatino Linotype" w:hAnsi="Palatino Linotype"/>
          <w:i/>
          <w:iCs/>
          <w:sz w:val="20"/>
          <w:szCs w:val="20"/>
        </w:rPr>
        <w:t xml:space="preserve">Dust Research Division — Experimental Deployment Group</w:t>
      </w:r>
    </w:p>
    <w:p>
      <w:pPr>
        <w:spacing w:after="400"/>
        <w:jc w:val="center"/>
      </w:pPr>
      <w:r>
        <w:rPr>
          <w:rFonts w:ascii="Palatino Linotype" w:cs="Palatino Linotype" w:eastAsia="Palatino Linotype" w:hAnsi="Palatino Linotype"/>
          <w:color w:val="6A6A6A"/>
          <w:sz w:val="20"/>
          <w:szCs w:val="20"/>
        </w:rPr>
        <w:t xml:space="preserve">Preprint SR-2026-007  •  August 10, 2026</w:t>
      </w:r>
    </w:p>
    <w:p>
      <w:pPr>
        <w:pBdr>
          <w:left w:val="single" w:color="C9A84C" w:sz="24" w:space="8"/>
        </w:pBdr>
        <w:shd w:fill="F2ECD9" w:val="clear"/>
        <w:spacing w:after="200" w:before="200" w:line="276"/>
        <w:ind w:left="200" w:right="200"/>
      </w:pPr>
      <w:r>
        <w:rPr>
          <w:rFonts w:ascii="Palatino Linotype" w:cs="Palatino Linotype" w:eastAsia="Palatino Linotype" w:hAnsi="Palatino Linotype"/>
          <w:i/>
          <w:iCs/>
          <w:color w:val="3A3A3A"/>
          <w:sz w:val="21"/>
          <w:szCs w:val="21"/>
        </w:rPr>
        <w:t xml:space="preserve">Terminology note: SRSM's spectral form factor ℱ_spec(s,t,u) of Section 8.2 (a finite-N softening of scattering amplitudes) and the “spectral form factor” (SFF) of the quantum-chaos/SYK literature (a time-domain diagnostic of level statistics, |Σₙ e⁻ⁱᴱⁿᵗ|²) share a name and a common finite-N/random-matrix origin but are not the same object. This note is explicit throughout about which is meant, and treats the connection between them as a structural analogy motivating SR-7, not an established identity.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Abstract</w:t>
      </w:r>
    </w:p>
    <w:p>
      <w:pPr>
        <w:spacing w:after="3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SR-2 established that SRSM's Vandermonde exponent β = 2 matches the static level-repulsion statistics of Gaussian Unitary Ensemble (GUE) systems, but accessed only equilibrium, time-independent spectral data. This note proposes nuclear magnetic resonance (NMR) spin-ensemble platforms — already used to measure out-of-time-order correlators (OTOCs) and information scrambling in many-body spin systems — as a dynamical complement, probing how finite-N corrections to random-matrix universality build up in time rather than only in a static spectrum. We connect this to SRSM's finite-N spectral form factor ℱ_spec (Appendix C of the mechanics paper) and its cutoff Λ_N = Δ√N, while being explicit that the connection to NMR-measured OTOC decay is a shared-origin structural analogy rather than a term-for-term correspondence. We propose a staged protocol using multiple-quantum-coherence (MQC) NMR spectroscopy to measure scrambling rates as a function of effective cluster size N, testing whether the √N scaling predicted for ℱ_spec appears in an independent, dynamical observable.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1. Introduction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SR-2 deliberately scoped itself to the static sector of Spectron statistics: nearest-neighbor spacing distributions and spectral rigidity, both properties of a single, time-independent eigenvalue snapshot. SRSM's own finite-N prediction (Appendix C of the mechanics paper), however, is dynamical in character — it governs how scattering amplitudes soften as the effective Spectron number N grows, and is closely related, in spirit, to how quantum-chaotic systems more generally approach random-matrix universality only after a characteristic scrambling time.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This note asks whether a dynamical, time-domain measurement can complement SR-2's static one. NMR spin ensembles are a natural candidate: dipolar-coupled nuclear spin systems are an established, mature platform for measuring out-of-time-order correlators via multiple-quantum-coherence spectroscopy, and OTOC decay in such systems is already used as an experimental proxy for information scrambling and, in some regimes, for approach to random-matrix-like dynamics. SR-7 proposes using this capability to test the √N scaling SRSM assigns to its finite-N spectral form factor, using cluster size in an NMR spin network as the tunable analogue of Spectron number N.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2. Recap: The Finite-N Spectral Form Factor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Appendix C of the mechanics paper gives the finite-N correction to the two-point resolvent,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W₂(z,w) = 1/(z−w)² · [ 1 − exp( −(z−w)²/Λ_N² ) ],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with Λ_N = Δ√N, producing the universal softening factor</w:t>
      </w:r>
    </w:p>
    <w:p>
      <w:pPr>
        <w:spacing w:after="200" w:before="100"/>
        <w:jc w:val="center"/>
      </w:pPr>
      <w:r>
        <w:rPr>
          <w:rFonts w:ascii="Cambria Math" w:cs="Cambria Math" w:eastAsia="Cambria Math" w:hAnsi="Cambria Math"/>
          <w:i/>
          <w:iCs/>
          <w:color w:val="1A1A1A"/>
          <w:sz w:val="22"/>
          <w:szCs w:val="22"/>
        </w:rPr>
        <w:t xml:space="preserve">𝔍_spec(p) = exp( − p²/Λ_N² ),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which suppresses hard scattering as N grows and vanishes (ℱ_spec → 1, no suppression) only in the strict N → ∞ limit. The qualitative content SR-7 targets is not the precise scattering-amplitude formula above but the underlying claim it encodes: that finite-N Spectron systems retain a residual, N-dependent departure from idealized continuum/random-matrix behavior, closing only as √N. This is the same qualitative structure — finite-size corrections to random-matrix universality, closing at a rate set by system size — that appears in the time domain in scrambling dynamics of chaotic many-body spin systems, which is the basis for treating NMR scrambling measurements as a relevant (if not identical) probe.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3. The NMR Spin-Ensemble Platform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3.1 Dipolar-coupled spin networks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Nuclear spins in solid-state or partially oriented liquid-crystal samples interact via the magnetic dipolar coupling, whose strength and connectivity can be shaped through choice of sample and refocusing pulse sequences (average Hamiltonian engineering), yielding effectively tunable many-body spin Hamiltonians on a macroscopic ensemble of identical molecules or lattice sites.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3.2 Multiple-quantum-coherence (MQC) spectroscopy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MQC pulse sequences allow the growth of multiple-spin coherence orders to be tracked as a function of evolution time, and have been used experimentally as a direct proxy for the growth of operator complexity — i.e., for scrambling — in dipolar-coupled spin systems. Related pulse-sequence protocols allow direct measurement of out-of-time-order correlators, providing a time-resolved diagnostic of chaotic information spreading in an ensemble-averaged solid-state system.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3.3 Effective cluster size as a tunable N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number of spins effectively participating in the coherently coupled cluster probed by an MQC sequence grows with evolution time and can be extracted from the coherence-order distribution; combined with sample or pulse-sequence engineering, this gives an experimentally accessible, tunable analogue of the Spectron number N relevant to SR-7's proposed comparison.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4. Mapping Dictionary: SRSM ↔ NMR Spin Ensemble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3100"/>
        <w:gridCol w:w="3150"/>
      </w:tblGrid>
      <w:tr>
        <w:trPr>
          <w:tblHeader/>
        </w:trPr>
        <w:tc>
          <w:tcPr>
            <w:tcW w:type="dxa" w:w="310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SRSM object</w:t>
            </w:r>
          </w:p>
        </w:tc>
        <w:tc>
          <w:tcPr>
            <w:tcW w:type="dxa" w:w="310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NMR realization</w:t>
            </w:r>
          </w:p>
        </w:tc>
        <w:tc>
          <w:tcPr>
            <w:tcW w:type="dxa" w:w="3150"/>
            <w:shd w:fill="0B1F3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Spectron ensemble (N constituents)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Dipolar-coupled nuclear spin cluster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Ensemble-averaged, not single-trajectory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Effective Spectron number 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MQC-extracted effective cluster size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Grows with evolution time in a controlled way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Finite-N form factor ℱ_spec (amplitude-domain)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OTOC decay / scrambling rate (time-domain SFF)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Shared-origin analogy, not identity — see terminology note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Cutoff scaling Λ_N = Δ√N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Predicted scrambling-rate scaling with cluster size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Target of SR-7 measurement, Section 5</w:t>
            </w:r>
          </w:p>
        </w:tc>
      </w:tr>
      <w:t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Vandermonde exponent β = 2 (static, SR-2)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Long-time coherence-order distribution shape</w:t>
            </w:r>
          </w:p>
        </w:tc>
        <w:tc>
          <w:tcPr>
            <w:tcW w:type="dxa" w:w="31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Palatino Linotype" w:cs="Palatino Linotype" w:eastAsia="Palatino Linotype" w:hAnsi="Palatino Linotype"/>
                <w:b w:val="false"/>
                <w:bCs w:val="false"/>
                <w:color w:val="1A1A1A"/>
                <w:sz w:val="20"/>
                <w:szCs w:val="20"/>
              </w:rPr>
              <w:t xml:space="preserve">Cross-check against SR-2's static result</w:t>
            </w:r>
          </w:p>
        </w:tc>
      </w:tr>
    </w:tbl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/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5. Predicted Observables and Signatures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5.1 Scrambling-rate scaling with cluster size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SR-7 proposes measuring the characteristic OTOC decay (scrambling) rate as a function of MQC-extracted effective cluster size N across a range of dipolar-coupled samples or pulse-sequence-engineered effective Hamiltonians, and testing whether the rate's approach to its large-N limiting value follows a √N scaling consistent, at the structural level, with Λ_N = Δ√N.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5.2 Ramp–plateau structure as a random-matrix cross-check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Time-domain spectral form factors in quantum-chaotic systems generically show an early decay (“slope”), a linear-in-time “ramp,” and a late-time “plateau” whose onset time scales with system size — a well-established diagnostic of random-matrix-class level statistics. SR-7 proposes measuring this ramp–plateau structure in an NMR spin ensemble and comparing its onset-time scaling with cluster size against both the SR-2 static GUE prediction (β = 2) and the finite-N scaling of Section 5.1, as an internal consistency check between the amplitude-domain and time-domain finite-N pictures.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0B1F3A"/>
          <w:sz w:val="24"/>
          <w:szCs w:val="24"/>
        </w:rPr>
        <w:t xml:space="preserve">5.3 Long-time coherence-order distribution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The saturated, long-time distribution of MQC coherence orders is, in existing NMR literature, already compared to random-matrix predictions; SR-7 proposes re-reading this saturated distribution specifically against the β = 2 exponent tested statically in SR-2, providing a dynamical route to the same static comparison rather than a new independent claim.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6. Staged Experimental Protocol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SR-7a — Baseline OTOC/MQC measurement: reproduce standard scrambling-rate and coherence-order-growth measurements in a chosen dipolar-coupled sample, establishing the cluster-size-extraction method of Section 3.3.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SR-7b — Scaling scan: repeat SR-7a across samples or pulse sequences spanning a range of effective cluster sizes N, testing the √N scrambling-rate scaling proposed in Section 5.1.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SR-7c — Ramp–plateau characterization: extend measurement times to resolve ramp–plateau structure and compare onset-time scaling against Section 5.2.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SR-7d — Cross-comparison with SR-2: compare the long-time saturated coherence-order distribution (Section 5.3) directly against SR-2's static GUE spacing-distribution results, testing consistency between the two independent SR tracks.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7. Scope and Explicit Limitations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Analogy, not identity: as flagged at the outset, SRSM's ℱ_spec and the NMR/SYK-literature spectral form factor are structurally related (both are finite-N corrections tied to random-matrix universality) but are not derived from one another; SR-7's results should be read as testing the qualitative √N-type scaling hypothesis, not the specific scattering-amplitude formula of Appendix C.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Ensemble averaging: standard solid-state NMR measures ensemble-averaged observables over a macroscopic number of molecules, not a single quantum trajectory; this is standard practice in the OTOC-NMR literature but differs from the single-realization picture implicit in SRSM's Spectron gas.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No worldsheet or gauge structure: as with SR-2, this platform accesses spectral/dynamical statistics only, with no analogue of the worldsheet constraints, resonance lattice, or gauge constraint addressed by SR-1, SR-3, and SR-6.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Cluster-size extraction is indirect: the identification of N with an MQC-extracted effective cluster size is itself a standard but model-dependent procedure in the NMR literature, and any SR-7 scaling claim inherits that dependency.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8. Relation to SR-1 Through SR-6</w:t>
      </w:r>
    </w:p>
    <w:p>
      <w:pPr>
        <w:spacing w:after="2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SR-7 extends SR-2's static random-matrix program into the time domain, using a platform (NMR spin ensembles) with an established, independent literature on scrambling and OTOC measurement. It shares SR-4's cautionary posture about structural-versus-derived correspondences, and, like SR-2, contributes no evidence bearing on the resonance-lattice, gauge-constraint, or coherence sectors addressed by SR-1, SR-3, SR-4, and SR-6. Its distinct contribution is temporal: it is the first SR track to propose testing a Spectron-sector prediction as a dynamical rate rather than a static distribution or locking pattern.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9. Conclusion</w:t>
      </w:r>
    </w:p>
    <w:p>
      <w:pPr>
        <w:spacing w:after="300" w:before="0" w:line="288"/>
        <w:jc w:val="both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NMR spin-ensemble scrambling measurements, built on established multiple-quantum-coherence spectroscopy and OTOC-measurement technique, offer a dynamical complement to SR-2's static test of Spectron-gas random-matrix statistics. The proposed comparison between scrambling-rate scaling and SRSM's finite-N spectral form factor is explicitly scoped as a structural, shared-origin analogy rather than a derived correspondence, and the platform contributes no access to the resonance-lattice, gauge, or matrix sectors addressed elsewhere in the SR series — its value lies specifically in testing whether finite-N departures from continuum behavior show consistent √N-type scaling across both an amplitude-domain (SR-2-adjacent) and a time-domain observable.</w:t>
      </w:r>
    </w:p>
    <w:p>
      <w:pPr>
        <w:pStyle w:val="Heading1"/>
        <w:pBdr>
          <w:bottom w:val="single" w:color="C9A84C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B1F3A"/>
          <w:sz w:val="30"/>
          <w:szCs w:val="30"/>
        </w:rPr>
        <w:t xml:space="preserve">References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[1] Spectral Resonance String Mechanics: A Hamiltonian and Worldsheet Formulation of Pre-Geometric Resonance Strings. Preprint SRST-2026-002.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[2] J. Li, R. Fan, H. Wang, et al., “Measuring Out-of-Time-Order Correlators on a Nuclear Magnetic Resonance Quantum Simulator,” Phys. Rev. X 7, 031011 (2017).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[3] M. Gärttner et al., “Measuring Out-of-Time-Order Correlations and Multiple Quantum Spectra in a Trapped-Ion Quantum Magnet,” Nature Physics 13, 781 (2017).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[4] B. Swingle, “Unscrambling the Physics of Out-of-Time-Order Correlators,” Nature Physics 14, 988 (2018).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[5] J. S. Cotler et al., “Black Holes and Random Matrices,” J. High Energy Phys. 2017, 118 (2017).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[6] J. Maldacena, S. H. Shenker, and D. Stanford, “A Bound on Chaos,” J. High Energy Phys. 2016, 106 (2016).</w:t>
      </w:r>
    </w:p>
    <w:p>
      <w:pPr>
        <w:spacing w:after="100" w:before="0" w:line="288"/>
        <w:jc w:val="left"/>
      </w:pPr>
      <w:r>
        <w:rPr>
          <w:rFonts w:ascii="Palatino Linotype" w:cs="Palatino Linotype" w:eastAsia="Palatino Linotype" w:hAnsi="Palatino Linotype"/>
          <w:color w:val="1A1A1A"/>
          <w:sz w:val="22"/>
          <w:szCs w:val="22"/>
        </w:rPr>
        <w:t xml:space="preserve">[7] SR-1 through SR-6 Deployment Notes, Preprints SR-2026-001 through SR-2026-006, Dust Research Division.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4"/>
      </w:pBdr>
      <w:tabs>
        <w:tab w:val="right" w:pos="10800"/>
      </w:tabs>
    </w:pPr>
    <w:r>
      <w:rPr>
        <w:rFonts w:ascii="Arial" w:cs="Arial" w:eastAsia="Arial" w:hAnsi="Arial"/>
        <w:color w:val="6A6A6A"/>
        <w:sz w:val="16"/>
        <w:szCs w:val="16"/>
      </w:rPr>
      <w:t xml:space="preserve">Spectral Resonance String Mechanics — Deployment Series</w:t>
    </w:r>
    <w:r>
      <w:rPr>
        <w:rFonts w:ascii="Arial" w:cs="Arial" w:eastAsia="Arial" w:hAnsi="Arial"/>
        <w:color w:val="6A6A6A"/>
        <w:sz w:val="16"/>
        <w:szCs w:val="16"/>
      </w:rPr>
      <w:t xml:space="preserve">	Page </w:t>
    </w:r>
    <w:r>
      <w:rPr>
        <w:rFonts w:ascii="Arial" w:cs="Arial" w:eastAsia="Arial" w:hAnsi="Arial"/>
        <w:color w:val="6A6A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A6A6A"/>
        <w:sz w:val="16"/>
        <w:szCs w:val="16"/>
      </w:rPr>
      <w:t xml:space="preserve"> of </w:t>
    </w:r>
    <w:r>
      <w:rPr>
        <w:rFonts w:ascii="Arial" w:cs="Arial" w:eastAsia="Arial" w:hAnsi="Arial"/>
        <w:color w:val="6A6A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4"/>
      </w:pBdr>
      <w:tabs>
        <w:tab w:val="right" w:pos="10800"/>
      </w:tabs>
    </w:pPr>
    <w:r>
      <w:rPr>
        <w:rFonts w:ascii="Arial" w:cs="Arial" w:eastAsia="Arial" w:hAnsi="Arial"/>
        <w:b/>
        <w:bCs/>
        <w:color w:val="0B1F3A"/>
        <w:sz w:val="16"/>
        <w:szCs w:val="16"/>
      </w:rPr>
      <w:t xml:space="preserve">DUST LLC — THEORETICAL FOUNDATIONS GROUP</w:t>
    </w:r>
    <w:r>
      <w:rPr>
        <w:rFonts w:ascii="Arial" w:cs="Arial" w:eastAsia="Arial" w:hAnsi="Arial"/>
        <w:color w:val="C9A84C"/>
        <w:sz w:val="16"/>
        <w:szCs w:val="16"/>
      </w:rPr>
      <w:t xml:space="preserve">	SR-7 — Deployment Note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2026-08-12T07:24:50.711Z</dcterms:created>
  <dcterms:modified xsi:type="dcterms:W3CDTF">2026-08-12T07:24:50.723Z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