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PM-13</w:t>
      </w:r>
    </w:p>
    <w:p>
      <w:pPr>
        <w:spacing w:after="240"/>
        <w:jc w:val="center"/>
      </w:pPr>
      <w:r>
        <w:rPr>
          <w:rFonts w:ascii="Arial" w:cs="Arial" w:eastAsia="Arial" w:hAnsi="Arial"/>
          <w:b/>
          <w:bCs/>
          <w:color w:val="1B2A4A"/>
          <w:sz w:val="28"/>
          <w:szCs w:val="28"/>
        </w:rPr>
        <w:t xml:space="preserve">Exciton Condensates in Bilayer 2D Materials: A Counterflow and BKT-Transition Probe of the Phase Substrate</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August 1, 2026</w:t>
      </w:r>
    </w:p>
    <w:p>
      <w:pPr>
        <w:spacing w:after="300"/>
        <w:jc w:val="center"/>
      </w:pPr>
      <w:r>
        <w:rPr>
          <w:rFonts w:ascii="Arial" w:cs="Arial" w:eastAsia="Arial" w:hAnsi="Arial"/>
          <w:i/>
          <w:iCs/>
          <w:color w:val="666666"/>
          <w:sz w:val="16"/>
          <w:szCs w:val="16"/>
        </w:rPr>
        <w:t xml:space="preserve">Subject area: Phase Mechanics (PM series)  •  Keywords: phase substrate, exciton condensate, bilayer graphene, counterflow superfluidity, interlayer coherence, meron, Kosterlitz–Thouless transition,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Unlike the structural, dynamical, and statistical stress tests of PM-7 through PM-9, bilayer exciton condensates offer a return to a comparatively direct U(1) correspondence — as clean, in its own way, as the charge-density-wave and Josephson-junction candidates of PM-3 and PM-4 — while contributing two genuinely new physical ingredients absent from every other candidate in this series: a transport signature unique to two independently addressable, spatially separated charge layers, and a finite-temperature topological phase transition governed by classical Kosterlitz–Thouless (BKT) physics rather than quantum statistics or driven dissipation. This note reviews the established phenomenology of interlayer exciton condensation in quantum Hall bilayers — originally realized in GaAs double quantum wells and, since 2017, more cleanly in graphene/hBN double layers — its counterflow superfluidity signature, and its native topological defect, the meron, whose thermally activated pair-unbinding governs the loss of interlayer coherence. It proposes a correspondence to the Phase Mechanics phaset and specifies two falsifiable predictions, testable with standard counterflow transport and interlayer tunneling techniques on existing bilayer graphene platforms.</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A bilayer exciton condensate forms when electrons confined to one two-dimensional layer and holes (or electrons in a second layer, treated as an effective hole system) confined to a second, closely spaced layer bind into interlayer excitons and condense into a single coherent many-body state. The physical picture is closest in spirit to the charge-density wave (PM-3) and Josephson-junction (PM-4) candidates — a genuine U(1) order parameter, no ambiguity about homotopy classification, no driven-dissipative steady state — but the platform contributes two features neither of those candidates has. First, because the condensate spans two separately contacted layers, its most direct transport signature is counterflow: equal and oppositely directed currents driven independently in the two layers, which flow dissipationlessly when interlayer coherence is present, a measurement geometry unavailable to any single-layer candidate in this series. Second, because the relevant order parameter lives on a two-dimensional plane at finite temperature, the loss of coherence with increasing temperature is governed by the classical Kosterlitz–Thouless mechanism — unbinding of topological defect pairs — rather than by the quantum-tunneling or driven-dissipative mechanisms addressed in every other note in this series.</w:t>
      </w:r>
    </w:p>
    <w:p>
      <w:pPr>
        <w:pStyle w:val="Heading1"/>
        <w:pBdr>
          <w:bottom w:val="single" w:color="B8922B" w:sz="6" w:space="4"/>
        </w:pBdr>
        <w:spacing w:after="200" w:before="400"/>
      </w:pPr>
      <w:r>
        <w:rPr>
          <w:rFonts w:ascii="Arial" w:cs="Arial" w:eastAsia="Arial" w:hAnsi="Arial"/>
          <w:b/>
          <w:bCs/>
          <w:color w:val="1B2A4A"/>
          <w:sz w:val="26"/>
          <w:szCs w:val="26"/>
        </w:rPr>
        <w:t xml:space="preserve">II. Bilayer Exciton Condensation: Established Phenomenology</w:t>
      </w:r>
    </w:p>
    <w:p>
      <w:pPr>
        <w:spacing w:after="200" w:line="276"/>
        <w:jc w:val="both"/>
      </w:pPr>
      <w:r>
        <w:rPr>
          <w:rFonts w:ascii="Palatino Linotype" w:cs="Palatino Linotype" w:eastAsia="Palatino Linotype" w:hAnsi="Palatino Linotype"/>
          <w:sz w:val="22"/>
          <w:szCs w:val="22"/>
        </w:rPr>
        <w:t xml:space="preserve">The clearest experimental realization occurs in quantum Hall bilayers: two closely spaced two-dimensional electron layers in a strong perpendicular magnetic field, tuned so the total filling factor across both layers is ν_T = 1 (each layer individually at ν = 1/2). In this regime, Coulomb interaction between the layers favors a state with spontaneous interlayer phase coherence — electrons in one layer bound to holes (empty states) in the other — equivalent to a Bose–Einstein condensate of interlayer excitons. This was first convincingly demonstrated in GaAs/AlGaAs double quantum wells, and Eisenstein and MacDonald’s 2004 review remains the standard reference for the original platform. Since 2017, a substantially cleaner realization has been achieved in graphene double layers separated by a thin hexagonal boron nitride (hBN) tunnel barrier, demonstrated independently by Li, Taniguchi, Watanabe, Hone, and Dean and by Liu, Watanabe, Taniguchi, Halperin, and Kim, with the graphene/hBN platform showing substantially higher-quality condensate signatures — closer to ideal quantization — than the original GaAs system, owing to the atomically sharp interlayer spacing and reduced disorder achievable in van der Waals heterostructures.</w:t>
      </w:r>
    </w:p>
    <w:p>
      <w:pPr>
        <w:pStyle w:val="Heading1"/>
        <w:pBdr>
          <w:bottom w:val="single" w:color="B8922B" w:sz="6" w:space="4"/>
        </w:pBdr>
        <w:spacing w:after="200" w:before="400"/>
      </w:pPr>
      <w:r>
        <w:rPr>
          <w:rFonts w:ascii="Arial" w:cs="Arial" w:eastAsia="Arial" w:hAnsi="Arial"/>
          <w:b/>
          <w:bCs/>
          <w:color w:val="1B2A4A"/>
          <w:sz w:val="26"/>
          <w:szCs w:val="26"/>
        </w:rPr>
        <w:t xml:space="preserve">III. Counterflow Superfluidity: The Smoking-Gun Transport Signature</w:t>
      </w:r>
    </w:p>
    <w:p>
      <w:pPr>
        <w:spacing w:after="200" w:line="276"/>
        <w:jc w:val="both"/>
      </w:pPr>
      <w:r>
        <w:rPr>
          <w:rFonts w:ascii="Palatino Linotype" w:cs="Palatino Linotype" w:eastAsia="Palatino Linotype" w:hAnsi="Palatino Linotype"/>
          <w:sz w:val="22"/>
          <w:szCs w:val="22"/>
        </w:rPr>
        <w:t xml:space="preserve">Because the two layers can be contacted independently, the exciton condensate’s superfluid character can be probed directly by driving equal and opposite currents in the two layers (counterflow) and measuring the resulting voltage drop. Kellogg, Eisenstein, Pfeiffer, and West, and independently Tutuc, Shayegan, and Huse, demonstrated in 2004 that this counterflow resistance drops toward zero in the coherent regime — a direct transport signature of the exciton condensate’s dissipationless collective flow, with no analogue in any single-layer candidate addressed in this series. In the modern graphene/hBN platform, Liu et al. demonstrated quantized Hall drag — momentum transfer between the layers precisely quantized in a way that directly confirms the condensate’s coherent, collective character — providing an independent, complementary transport signature to counterflow resistance.</w:t>
      </w:r>
    </w:p>
    <w:p>
      <w:pPr>
        <w:pStyle w:val="Heading1"/>
        <w:pBdr>
          <w:bottom w:val="single" w:color="B8922B" w:sz="6" w:space="4"/>
        </w:pBdr>
        <w:spacing w:after="200" w:before="400"/>
      </w:pPr>
      <w:r>
        <w:rPr>
          <w:rFonts w:ascii="Arial" w:cs="Arial" w:eastAsia="Arial" w:hAnsi="Arial"/>
          <w:b/>
          <w:bCs/>
          <w:color w:val="1B2A4A"/>
          <w:sz w:val="26"/>
          <w:szCs w:val="26"/>
        </w:rPr>
        <w:t xml:space="preserve">IV. Interlayer Phase Coherence as a U(1) Order Parameter</w:t>
      </w:r>
    </w:p>
    <w:p>
      <w:pPr>
        <w:spacing w:after="200" w:line="276"/>
        <w:jc w:val="both"/>
      </w:pPr>
      <w:r>
        <w:rPr>
          <w:rFonts w:ascii="Palatino Linotype" w:cs="Palatino Linotype" w:eastAsia="Palatino Linotype" w:hAnsi="Palatino Linotype"/>
          <w:sz w:val="22"/>
          <w:szCs w:val="22"/>
        </w:rPr>
        <w:t xml:space="preserve">The bilayer system is naturally described in a pseudospin language, in which the physical layer index (top or bottom) is treated as a pseudospin-1/2 degree of freedom. Spontaneous interlayer coherence corresponds to the pseudospin acquiring a definite orientation in the easy plane, with the azimuthal angle of that in-plane pseudospin — the interlayer phase φ — playing exactly the role of a U(1) order-parameter phase, directly analogous to the phase addressed for charge-density waves and Josephson junctions in PM-3 and PM-4. This phase coherence has a direct experimental signature: Spielman, Eisenstein, Pfeiffer, and West demonstrated in 2000 that interlayer tunneling conductance is resonantly enhanced at zero bias in the coherent regime, a tunneling signature closely analogous in spirit to the Josephson effect, though arising from excitonic rather than superconducting pairing. The collective, low-energy fluctuation of this interlayer phase is a Goldstone-like mode of the spontaneously broken U(1) pseudospin symmetry, gapped only by residual single-particle interlayer tunneling, directly analogous to the phason of PM-3.</w:t>
      </w:r>
    </w:p>
    <w:p>
      <w:pPr>
        <w:pStyle w:val="Heading1"/>
        <w:pBdr>
          <w:bottom w:val="single" w:color="B8922B" w:sz="6" w:space="4"/>
        </w:pBdr>
        <w:spacing w:after="200" w:before="400"/>
      </w:pPr>
      <w:r>
        <w:rPr>
          <w:rFonts w:ascii="Arial" w:cs="Arial" w:eastAsia="Arial" w:hAnsi="Arial"/>
          <w:b/>
          <w:bCs/>
          <w:color w:val="1B2A4A"/>
          <w:sz w:val="26"/>
          <w:szCs w:val="26"/>
        </w:rPr>
        <w:t xml:space="preserve">V. Merons: The Bilayer's Native Topological Defect and the BKT Transition</w:t>
      </w:r>
    </w:p>
    <w:p>
      <w:pPr>
        <w:spacing w:after="200" w:line="276"/>
        <w:jc w:val="both"/>
      </w:pPr>
      <w:r>
        <w:rPr>
          <w:rFonts w:ascii="Palatino Linotype" w:cs="Palatino Linotype" w:eastAsia="Palatino Linotype" w:hAnsi="Palatino Linotype"/>
          <w:sz w:val="22"/>
          <w:szCs w:val="22"/>
        </w:rPr>
        <w:t xml:space="preserve">Because the interlayer phase is an angle on a two-dimensional plane, it supports vortex-like topological defects, called merons in the bilayer quantum Hall literature following the theoretical treatment of Moon, Mori, Yang, Girvin, MacDonald, and collaborators in 1995. A meron is a half-vortex of the pseudospin texture, carrying a fractional (one-half) electric charge and a fractional winding, and merons are confined into logarithmically bound pairs (meron–antimeron pairs) at low temperature by the same two-dimensional Coulomb-like interaction that binds vortex–antivortex pairs in the classical two-dimensional XY model. As temperature increases, these pairs unbind via a Kosterlitz–Thouless transition, and this meron-pair unbinding is the theoretically predicted microscopic mechanism by which interlayer coherence — and with it, counterflow superfluidity — is lost at finite temperature. This is the bilayer candidate’s native topological-sector-changing event: not a phase slip along a line, not an emergent-monopole point singularity, but a classical, thermally driven vortex-pair unbinding transition, governed by well-established BKT renormalization-group theory rather than by any of the quantum mechanisms addressed in PM-3 through PM-12.</w:t>
      </w:r>
    </w:p>
    <w:p>
      <w:pPr>
        <w:pStyle w:val="Heading1"/>
        <w:pBdr>
          <w:bottom w:val="single" w:color="B8922B" w:sz="6" w:space="4"/>
        </w:pBdr>
        <w:spacing w:after="200" w:before="400"/>
      </w:pPr>
      <w:r>
        <w:rPr>
          <w:rFonts w:ascii="Arial" w:cs="Arial" w:eastAsia="Arial" w:hAnsi="Arial"/>
          <w:b/>
          <w:bCs/>
          <w:color w:val="1B2A4A"/>
          <w:sz w:val="26"/>
          <w:szCs w:val="26"/>
        </w:rPr>
        <w:t xml:space="preserve">VI. Correspondence to the Phase Configuration Manifold</w:t>
      </w:r>
    </w:p>
    <w:p>
      <w:pPr>
        <w:spacing w:after="200" w:line="276"/>
        <w:jc w:val="both"/>
      </w:pPr>
      <w:r>
        <w:rPr>
          <w:rFonts w:ascii="Palatino Linotype" w:cs="Palatino Linotype" w:eastAsia="Palatino Linotype" w:hAnsi="Palatino Linotype"/>
          <w:sz w:val="22"/>
          <w:szCs w:val="22"/>
        </w:rPr>
        <w:t xml:space="preserve">The proposed correspondence identifies the interlayer coherence order parameter with the phaset’s coordinates: the degree of pseudospin polarization in the easy plane (equivalently, the size of the resonant tunneling peak) with coherence amplitude, and the meron’s fractional winding number with the topological-sector coordinate. Because merons are confined in bound pairs below the BKT transition and unbind above it, this candidate offers a correspondence in which the topological-sector coordinate’s accessibility is itself temperature-dependent in a precisely characterized way — governed by the BKT renormalization-group flow of the meron fugacity — giving a natural, quantitative control parameter (temperature relative to the BKT transition temperature) with which to scan the correspondence’s predictions, distinct from the pump power, bias current, or drive frequency control parameters used in the other candidates addressed in this series.</w:t>
      </w:r>
    </w:p>
    <w:p>
      <w:pPr>
        <w:pStyle w:val="Heading1"/>
        <w:pBdr>
          <w:bottom w:val="single" w:color="B8922B" w:sz="6" w:space="4"/>
        </w:pBdr>
        <w:spacing w:after="200" w:before="400"/>
      </w:pPr>
      <w:r>
        <w:rPr>
          <w:rFonts w:ascii="Arial" w:cs="Arial" w:eastAsia="Arial" w:hAnsi="Arial"/>
          <w:b/>
          <w:bCs/>
          <w:color w:val="1B2A4A"/>
          <w:sz w:val="26"/>
          <w:szCs w:val="26"/>
        </w:rPr>
        <w:t xml:space="preserve">VII. Falsifiable Predictions</w:t>
      </w:r>
    </w:p>
    <w:p>
      <w:pPr>
        <w:pStyle w:val="Heading2"/>
        <w:spacing w:after="140" w:before="260"/>
      </w:pPr>
      <w:r>
        <w:rPr>
          <w:rFonts w:ascii="Arial" w:cs="Arial" w:eastAsia="Arial" w:hAnsi="Arial"/>
          <w:b/>
          <w:bCs/>
          <w:color w:val="1B2A4A"/>
          <w:sz w:val="22"/>
          <w:szCs w:val="22"/>
        </w:rPr>
        <w:t xml:space="preserve">Prediction 1 — Sub-Poissonian meron-pair unbinding statistics near the BKT transition</w:t>
      </w:r>
    </w:p>
    <w:p>
      <w:pPr>
        <w:spacing w:after="200" w:line="276"/>
        <w:jc w:val="both"/>
      </w:pPr>
      <w:r>
        <w:rPr>
          <w:rFonts w:ascii="Palatino Linotype" w:cs="Palatino Linotype" w:eastAsia="Palatino Linotype" w:hAnsi="Palatino Linotype"/>
          <w:sz w:val="22"/>
          <w:szCs w:val="22"/>
        </w:rPr>
        <w:t xml:space="preserve">Standard BKT theory, applied to the bilayer pseudospin system by Fertig, Murthy, and others, predicts meron–antimeron pair-unbinding events near the transition temperature that are thermally activated and statistically close to independent at fixed temperature and bias — a Poissonian-like process governed by the local vortex fugacity, the same class of null model tested throughout PM-3 through PM-12. The phaset correspondence predicts a measurable sub-Poissonian departure — a Fano factor below unity in the unbinding-event waiting-time distribution extracted from time-resolved counterflow noise measurements near the transition — if the topological-sector coordinate carries a slowly relaxing correlation across successive unbinding events.</w:t>
      </w:r>
    </w:p>
    <w:p>
      <w:pPr>
        <w:pStyle w:val="Heading2"/>
        <w:spacing w:after="140" w:before="260"/>
      </w:pPr>
      <w:r>
        <w:rPr>
          <w:rFonts w:ascii="Arial" w:cs="Arial" w:eastAsia="Arial" w:hAnsi="Arial"/>
          <w:b/>
          <w:bCs/>
          <w:color w:val="1B2A4A"/>
          <w:sz w:val="22"/>
          <w:szCs w:val="22"/>
        </w:rPr>
        <w:t xml:space="preserve">Prediction 2 — Discrete structure in the counterflow critical current versus interlayer tunneling strength</w:t>
      </w:r>
    </w:p>
    <w:p>
      <w:pPr>
        <w:spacing w:after="200" w:line="276"/>
        <w:jc w:val="both"/>
      </w:pPr>
      <w:r>
        <w:rPr>
          <w:rFonts w:ascii="Palatino Linotype" w:cs="Palatino Linotype" w:eastAsia="Palatino Linotype" w:hAnsi="Palatino Linotype"/>
          <w:sz w:val="22"/>
          <w:szCs w:val="22"/>
        </w:rPr>
        <w:t xml:space="preserve">Standard mean-field pseudospin theory predicts a smooth counterflow critical current — the maximum dissipationless counterflow current the condensate can sustain, analogous to a superfluid or Josephson critical current — as a continuous function of the interlayer tunneling gap Δ_SAS (tunable via layer spacing or gate-controlled barrier height in the graphene/hBN platform) and temperature. The phaset correspondence predicts discrete steps or kinks in this critical current at specific Δ_SAS values corresponding to topological-sector boundaries, rather than the smooth dependence standard theory predicts.</w:t>
      </w:r>
    </w:p>
    <w:p>
      <w:pPr>
        <w:spacing w:after="200" w:line="276"/>
        <w:jc w:val="both"/>
      </w:pPr>
      <w:r>
        <w:rPr>
          <w:rFonts w:ascii="Palatino Linotype" w:cs="Palatino Linotype" w:eastAsia="Palatino Linotype" w:hAnsi="Palatino Linotype"/>
          <w:sz w:val="22"/>
          <w:szCs w:val="22"/>
        </w:rPr>
        <w:t xml:space="preserve">A null result on both — Poissonian meron-unbinding statistics near the BKT transition, and a smooth critical-current dependence on Δ_SAS at all tested values — would indicate that the classical, thermally driven character of this candidate’s topological transition does not, on its own, expose additional phaset structure beyond what the quantum-mechanical vortex and phase-slip candidates elsewhere in this series already test.</w:t>
      </w:r>
    </w:p>
    <w:p>
      <w:pPr>
        <w:pStyle w:val="Heading1"/>
        <w:pBdr>
          <w:bottom w:val="single" w:color="B8922B" w:sz="6" w:space="4"/>
        </w:pBdr>
        <w:spacing w:after="200" w:before="400"/>
      </w:pPr>
      <w:r>
        <w:rPr>
          <w:rFonts w:ascii="Arial" w:cs="Arial" w:eastAsia="Arial" w:hAnsi="Arial"/>
          <w:b/>
          <w:bCs/>
          <w:color w:val="1B2A4A"/>
          <w:sz w:val="26"/>
          <w:szCs w:val="26"/>
        </w:rPr>
        <w:t xml:space="preserve">VIII.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Platform: a graphene double-layer heterostructure separated by a thin hBN tunnel barrier, following the established Dean/Kim group device geometry, tuned via back- and top-gate voltages and a perpendicular magnetic field to total filling ν_T = 1, with a GaAs/AlGaAs double quantum well as a cross-check against the original, more disordered platform.</w:t>
      </w:r>
    </w:p>
    <w:p>
      <w:pPr>
        <w:pStyle w:val="ListParagraph"/>
        <w:numPr>
          <w:ilvl w:val="0"/>
          <w:numId w:val="2"/>
        </w:numPr>
        <w:spacing w:after="120"/>
      </w:pPr>
      <w:r>
        <w:rPr>
          <w:rFonts w:ascii="Palatino Linotype" w:cs="Palatino Linotype" w:eastAsia="Palatino Linotype" w:hAnsi="Palatino Linotype"/>
          <w:sz w:val="22"/>
          <w:szCs w:val="22"/>
        </w:rPr>
        <w:t xml:space="preserve">Meron-unbinding statistics: time-resolved counterflow resistance noise measurement across a fine temperature sweep spanning the BKT transition, with individual unbinding-related resistance fluctuation events identified and compiled into a waiting-time distribution for Fano-factor analysis against a Poissonian null.</w:t>
      </w:r>
    </w:p>
    <w:p>
      <w:pPr>
        <w:pStyle w:val="ListParagraph"/>
        <w:numPr>
          <w:ilvl w:val="0"/>
          <w:numId w:val="2"/>
        </w:numPr>
        <w:spacing w:after="120"/>
      </w:pPr>
      <w:r>
        <w:rPr>
          <w:rFonts w:ascii="Palatino Linotype" w:cs="Palatino Linotype" w:eastAsia="Palatino Linotype" w:hAnsi="Palatino Linotype"/>
          <w:sz w:val="22"/>
          <w:szCs w:val="22"/>
        </w:rPr>
        <w:t xml:space="preserve">Critical-current measurement: counterflow current-voltage characterization across a range of gate-tunable Δ_SAS values, at fixed temperature well below the BKT transition, to map the critical counterflow current as a function of tunneling strength at fine resolution.</w:t>
      </w:r>
    </w:p>
    <w:p>
      <w:pPr>
        <w:pStyle w:val="ListParagraph"/>
        <w:numPr>
          <w:ilvl w:val="0"/>
          <w:numId w:val="2"/>
        </w:numPr>
        <w:spacing w:after="120"/>
      </w:pPr>
      <w:r>
        <w:rPr>
          <w:rFonts w:ascii="Palatino Linotype" w:cs="Palatino Linotype" w:eastAsia="Palatino Linotype" w:hAnsi="Palatino Linotype"/>
          <w:sz w:val="22"/>
          <w:szCs w:val="22"/>
        </w:rPr>
        <w:t xml:space="preserve">Complementary coherence verification: interlayer tunneling I–V measurement (following the Spielman et al. protocol) and quantized Hall drag measurement (following the Liu et al. protocol) at each condition, to confirm the system is in the genuinely coherent exciton-condensate regime before interpreting either primary measurement.</w:t>
      </w:r>
    </w:p>
    <w:p>
      <w:pPr>
        <w:pStyle w:val="ListParagraph"/>
        <w:numPr>
          <w:ilvl w:val="0"/>
          <w:numId w:val="2"/>
        </w:numPr>
        <w:spacing w:after="120"/>
      </w:pPr>
      <w:r>
        <w:rPr>
          <w:rFonts w:ascii="Palatino Linotype" w:cs="Palatino Linotype" w:eastAsia="Palatino Linotype" w:hAnsi="Palatino Linotype"/>
          <w:sz w:val="22"/>
          <w:szCs w:val="22"/>
        </w:rPr>
        <w:t xml:space="preserve">Control: repetition of both protocols at total filling away from ν_T = 1, where interlayer coherence does not form, to confirm that any observed sub-Poissonian clustering or critical-current fine structure is tied to genuine exciton-condensate physics rather than device or measurement-chain artifacts.</w:t>
      </w:r>
    </w:p>
    <w:p>
      <w:pPr>
        <w:pStyle w:val="Heading1"/>
        <w:pBdr>
          <w:bottom w:val="single" w:color="B8922B" w:sz="6" w:space="4"/>
        </w:pBdr>
        <w:spacing w:after="200" w:before="400"/>
      </w:pPr>
      <w:r>
        <w:rPr>
          <w:rFonts w:ascii="Arial" w:cs="Arial" w:eastAsia="Arial" w:hAnsi="Arial"/>
          <w:b/>
          <w:bCs/>
          <w:color w:val="1B2A4A"/>
          <w:sz w:val="26"/>
          <w:szCs w:val="26"/>
        </w:rPr>
        <w:t xml:space="preserve">IX. Relation to the Phase DiVincenzo Criteria</w:t>
      </w:r>
    </w:p>
    <w:p>
      <w:pPr>
        <w:spacing w:after="200" w:line="276"/>
        <w:jc w:val="both"/>
      </w:pPr>
      <w:r>
        <w:rPr>
          <w:rFonts w:ascii="Palatino Linotype" w:cs="Palatino Linotype" w:eastAsia="Palatino Linotype" w:hAnsi="Palatino Linotype"/>
          <w:sz w:val="22"/>
          <w:szCs w:val="22"/>
        </w:rPr>
        <w:t xml:space="preserve">Bilayer exciton condensates are comparatively strong against the PDC criteria concerned with well-characterized initialization and quantitative readout: filling factor, interlayer coherence, and topological-sector accessibility (via temperature relative to the BKT transition) are all set by standard, precisely controllable gate and field parameters, and readout via counterflow transport, tunneling, and Hall drag are all mature, quantitative techniques. They are markedly weaker against criteria concerned with coherent coupling between individually addressed, spatially separated phasets: this candidate is a single, spatially extended two-dimensional coherent state, and no existing experiment engineers or addresses multiple, spatially separated bilayer exciton condensates as discrete, individually controllable units in the way flux-qubit arrays or coupled BEC puddles are addressed elsewhere in this series.</w:t>
      </w:r>
    </w:p>
    <w:p>
      <w:pPr>
        <w:pStyle w:val="Heading1"/>
        <w:pBdr>
          <w:bottom w:val="single" w:color="B8922B" w:sz="6" w:space="4"/>
        </w:pBdr>
        <w:spacing w:after="200" w:before="400"/>
      </w:pPr>
      <w:r>
        <w:rPr>
          <w:rFonts w:ascii="Arial" w:cs="Arial" w:eastAsia="Arial" w:hAnsi="Arial"/>
          <w:b/>
          <w:bCs/>
          <w:color w:val="1B2A4A"/>
          <w:sz w:val="26"/>
          <w:szCs w:val="26"/>
        </w:rPr>
        <w:t xml:space="preserve">X. Limitations and Falsification Conditions</w:t>
      </w:r>
    </w:p>
    <w:p>
      <w:pPr>
        <w:spacing w:after="200" w:line="276"/>
        <w:jc w:val="both"/>
      </w:pPr>
      <w:r>
        <w:rPr>
          <w:rFonts w:ascii="Palatino Linotype" w:cs="Palatino Linotype" w:eastAsia="Palatino Linotype" w:hAnsi="Palatino Linotype"/>
          <w:sz w:val="22"/>
          <w:szCs w:val="22"/>
        </w:rPr>
        <w:t xml:space="preserve">This note’s correspondence carries no implication for any other candidate in this series. It is falsified on its own terms if the meron-unbinding statistics in Prediction 1 are consistent with a Poissonian process across the tested temperature range near the BKT transition, and if the counterflow critical current in Prediction 2 varies smoothly with Δ_SAS at all tested values with no resolvable discrete structure. Because the underlying BKT and mean-field pseudospin theories this note is tested against are independently well-established on this platform — including the quantitative BKT transition temperature itself — a null result on both predictions would indicate that the classical, thermally driven character of this candidate’s topological-sector transition does not, by itself, expose additional phaset structure.</w:t>
      </w:r>
    </w:p>
    <w:p>
      <w:pPr>
        <w:pStyle w:val="Heading1"/>
        <w:pBdr>
          <w:bottom w:val="single" w:color="B8922B" w:sz="6" w:space="4"/>
        </w:pBdr>
        <w:spacing w:after="200" w:before="400"/>
      </w:pPr>
      <w:r>
        <w:rPr>
          <w:rFonts w:ascii="Arial" w:cs="Arial" w:eastAsia="Arial" w:hAnsi="Arial"/>
          <w:b/>
          <w:bCs/>
          <w:color w:val="1B2A4A"/>
          <w:sz w:val="26"/>
          <w:szCs w:val="26"/>
        </w:rPr>
        <w:t xml:space="preserve">XI. Conclusion</w:t>
      </w:r>
    </w:p>
    <w:p>
      <w:pPr>
        <w:spacing w:after="200" w:line="276"/>
        <w:jc w:val="both"/>
      </w:pPr>
      <w:r>
        <w:rPr>
          <w:rFonts w:ascii="Palatino Linotype" w:cs="Palatino Linotype" w:eastAsia="Palatino Linotype" w:hAnsi="Palatino Linotype"/>
          <w:sz w:val="22"/>
          <w:szCs w:val="22"/>
        </w:rPr>
        <w:t xml:space="preserve">Bilayer exciton condensates combine a comparatively direct U(1) correspondence — closer in character to the charge-density-wave and Josephson-junction candidates of PM-3 and PM-4 than to the structural, dynamical, or statistical stress tests of PM-7 through PM-9 — with two features unique to this platform: a counterflow transport signature made possible by independently addressable, spatially separated layers, and a finite-temperature topological transition governed by classical Kosterlitz–Thouless physics rather than quantum mechanics. This note has reviewed the established phenomenology of quantum Hall bilayer exciton condensation on both the original GaAs and modern graphene/hBN platforms, proposed a correspondence to the Phase Mechanics phaset built around the meron as the native topological defect, and specified two falsifiable predictions — sub-Poissonian meron-unbinding statistics and discretized counterflow critical-current structure — both testable with existing transport techniques on established bilayer graphene devices.</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Eisenstein, J. P. and MacDonald, A. H. “Bose–Einstein condensation of excitons in bilayer electron systems.” Nature 432, 691 (2004).</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Moon, K., Mori, H., Yang, K., Girvin, S. M., MacDonald, A. H., et al. “Spontaneous interlayer coherence in double-layer quantum Hall systems: charged vortices and Kosterlitz–Thouless phase transitions.” Physical Review B 51, 5138 (1995).</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Spielman, I. B., Eisenstein, J. P., Pfeiffer, L. N., and West, K. W. “Resonantly enhanced tunneling in a double layer quantum Hall ferromagnet.” Physical Review Letters 84, 5808 (2000).</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Kellogg, M., Eisenstein, J. P., Pfeiffer, L. N., and West, K. W. “Vanishing Hall resistance at high magnetic field in a double-layer two-dimensional electron system.” Physical Review Letters 93, 036801 (2004).</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Tutuc, E., Shayegan, M., and Huse, D. A. “Counterflow measurements in strongly correlated GaAs hole bilayers: evidence for electron-hole pairing.” Physical Review Letters 93, 036802 (2004).</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Li, J. I. A., Taniguchi, T., Watanabe, K., Hone, J., and Dean, C. R. “Excitonic superfluid phase in double bilayer graphene.” Nature Physics 13, 751 (2017).</w:t>
      </w:r>
    </w:p>
    <w:p>
      <w:pPr>
        <w:spacing w:after="120"/>
        <w:ind w:left="360" w:hanging="360"/>
      </w:pPr>
      <w:r>
        <w:rPr>
          <w:rFonts w:ascii="Palatino Linotype" w:cs="Palatino Linotype" w:eastAsia="Palatino Linotype" w:hAnsi="Palatino Linotype"/>
          <w:b/>
          <w:bCs/>
          <w:sz w:val="22"/>
          <w:szCs w:val="22"/>
        </w:rPr>
        <w:t xml:space="preserve">[7] </w:t>
      </w:r>
      <w:r>
        <w:rPr>
          <w:rFonts w:ascii="Palatino Linotype" w:cs="Palatino Linotype" w:eastAsia="Palatino Linotype" w:hAnsi="Palatino Linotype"/>
          <w:sz w:val="22"/>
          <w:szCs w:val="22"/>
        </w:rPr>
        <w:t xml:space="preserve">Liu, X., Watanabe, K., Taniguchi, T., Halperin, B. I., and Kim, P. “Quantum Hall drag of exciton condensate in graphene.” Nature Physics 13, 746 (2017).</w:t>
      </w:r>
    </w:p>
    <w:p>
      <w:pPr>
        <w:spacing w:after="120"/>
        <w:ind w:left="360" w:hanging="360"/>
      </w:pPr>
      <w:r>
        <w:rPr>
          <w:rFonts w:ascii="Palatino Linotype" w:cs="Palatino Linotype" w:eastAsia="Palatino Linotype" w:hAnsi="Palatino Linotype"/>
          <w:b/>
          <w:bCs/>
          <w:sz w:val="22"/>
          <w:szCs w:val="22"/>
        </w:rPr>
        <w:t xml:space="preserve">[8]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 Deployment Notes PM-2 through PM-12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PM-13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2026-08-06T02:53:50.040Z</dcterms:created>
  <dcterms:modified xsi:type="dcterms:W3CDTF">2026-08-06T02:53:50.053Z</dcterms:modified>
</cp:coreProperties>
</file>

<file path=docProps/custom.xml><?xml version="1.0" encoding="utf-8"?>
<Properties xmlns="http://schemas.openxmlformats.org/officeDocument/2006/custom-properties" xmlns:vt="http://schemas.openxmlformats.org/officeDocument/2006/docPropsVTypes"/>
</file>