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B8922B"/>
          <w:sz w:val="20"/>
          <w:szCs w:val="20"/>
        </w:rPr>
        <w:t xml:space="preserve">Phase Mechanics — Deployment Note PM-12</w:t>
      </w:r>
    </w:p>
    <w:p>
      <w:pPr>
        <w:spacing w:after="240"/>
        <w:jc w:val="center"/>
      </w:pPr>
      <w:r>
        <w:rPr>
          <w:rFonts w:ascii="Arial" w:cs="Arial" w:eastAsia="Arial" w:hAnsi="Arial"/>
          <w:b/>
          <w:bCs/>
          <w:color w:val="1B2A4A"/>
          <w:sz w:val="30"/>
          <w:szCs w:val="30"/>
        </w:rPr>
        <w:t xml:space="preserve">Photon Bose–Einstein Condensates: A Grand-Canonical Stress Test of the Phaset Formalism</w:t>
      </w:r>
    </w:p>
    <w:p>
      <w:pPr>
        <w:spacing w:after="60"/>
        <w:jc w:val="center"/>
      </w:pPr>
      <w:r>
        <w:rPr>
          <w:rFonts w:ascii="Arial" w:cs="Arial" w:eastAsia="Arial" w:hAnsi="Arial"/>
          <w:sz w:val="22"/>
          <w:szCs w:val="22"/>
        </w:rPr>
        <w:t xml:space="preserve">Marlon Hanks</w:t>
      </w:r>
    </w:p>
    <w:p>
      <w:pPr>
        <w:spacing w:after="60"/>
        <w:jc w:val="center"/>
      </w:pPr>
      <w:r>
        <w:rPr>
          <w:rFonts w:ascii="Arial" w:cs="Arial" w:eastAsia="Arial" w:hAnsi="Arial"/>
          <w:color w:val="555555"/>
          <w:sz w:val="20"/>
          <w:szCs w:val="20"/>
        </w:rPr>
        <w:t xml:space="preserve">August 1, 2026</w:t>
      </w:r>
    </w:p>
    <w:p>
      <w:pPr>
        <w:spacing w:after="300"/>
        <w:jc w:val="center"/>
      </w:pPr>
      <w:r>
        <w:rPr>
          <w:rFonts w:ascii="Arial" w:cs="Arial" w:eastAsia="Arial" w:hAnsi="Arial"/>
          <w:i/>
          <w:iCs/>
          <w:color w:val="666666"/>
          <w:sz w:val="16"/>
          <w:szCs w:val="16"/>
        </w:rPr>
        <w:t xml:space="preserve">Subject area: Phase Mechanics (PM series)  •  Keywords: phase substrate, photon Bose–Einstein condensate, dye microcavity, grand-canonical fluctuations, effective photon mass, falsifiability</w:t>
      </w:r>
    </w:p>
    <w:p>
      <w:pPr>
        <w:spacing w:after="300"/>
        <w:jc w:val="center"/>
      </w:pPr>
      <w:r>
        <w:rPr>
          <w:rFonts w:ascii="Arial" w:cs="Arial" w:eastAsia="Arial" w:hAnsi="Arial"/>
          <w:i/>
          <w:iCs/>
          <w:color w:val="888888"/>
          <w:sz w:val="16"/>
          <w:szCs w:val="16"/>
        </w:rPr>
        <w:t xml:space="preserve">Deployment note. Independent of Phase Theory’s core foundational program. Under review.</w:t>
      </w:r>
    </w:p>
    <w:p>
      <w:pPr>
        <w:pStyle w:val="Heading2"/>
        <w:spacing w:after="140" w:before="260"/>
      </w:pPr>
      <w:r>
        <w:rPr>
          <w:rFonts w:ascii="Arial" w:cs="Arial" w:eastAsia="Arial" w:hAnsi="Arial"/>
          <w:b/>
          <w:bCs/>
          <w:color w:val="1B2A4A"/>
          <w:sz w:val="22"/>
          <w:szCs w:val="22"/>
        </w:rPr>
        <w:t xml:space="preserve">Abstract</w:t>
      </w:r>
    </w:p>
    <w:p>
      <w:pPr>
        <w:spacing w:after="200" w:line="276"/>
        <w:jc w:val="both"/>
      </w:pPr>
      <w:r>
        <w:rPr>
          <w:rFonts w:ascii="Palatino Linotype" w:cs="Palatino Linotype" w:eastAsia="Palatino Linotype" w:hAnsi="Palatino Linotype"/>
          <w:sz w:val="22"/>
          <w:szCs w:val="22"/>
        </w:rPr>
        <w:t xml:space="preserve">Every condensate candidate addressed so far in this series thermalizes by a different mechanism — collisional rethermalization for cold atoms (PM-6), strong light–matter coupling for exciton-polaritons (PM-8), parametrically driven magnon–magnon scattering for the room-temperature magnon condensate (PM-10) — but in every case the condensing quantity is a massive or effectively massive material excitation. A photon Bose–Einstein condensate, first demonstrated by Klaers, Schmitt, Vewinger, and Weitz in 2010, condenses genuine photons: massless in free space, given an effective mass only by the curvature of the microcavity mirrors confining them, and thermalized not by particle collisions but by repeated absorption and re-emission cycling with a dye reservoir. This note reviews the established phenomenology of dye-microcavity photon condensation and its most distinctive experimental consequence — directly measured grand-canonical number fluctuations, a statistical-ensemble effect unavailable to any closed or number-regulated candidate addressed earlier in this series — proposes a correspondence to the Phase Mechanics phaset, and specifies two falsifiable predictions testable with standard photon-counting and interferometric techniques on existing dye-microcavity platforms operating at room temperature.</w:t>
      </w:r>
    </w:p>
    <w:p>
      <w:pPr>
        <w:pStyle w:val="Heading1"/>
        <w:pBdr>
          <w:bottom w:val="single" w:color="B8922B" w:sz="6" w:space="4"/>
        </w:pBdr>
        <w:spacing w:after="200" w:before="400"/>
      </w:pPr>
      <w:r>
        <w:rPr>
          <w:rFonts w:ascii="Arial" w:cs="Arial" w:eastAsia="Arial" w:hAnsi="Arial"/>
          <w:b/>
          <w:bCs/>
          <w:color w:val="1B2A4A"/>
          <w:sz w:val="26"/>
          <w:szCs w:val="26"/>
        </w:rPr>
        <w:t xml:space="preserve">I. Introduction</w:t>
      </w:r>
    </w:p>
    <w:p>
      <w:pPr>
        <w:spacing w:after="200" w:line="276"/>
        <w:jc w:val="both"/>
      </w:pPr>
      <w:r>
        <w:rPr>
          <w:rFonts w:ascii="Palatino Linotype" w:cs="Palatino Linotype" w:eastAsia="Palatino Linotype" w:hAnsi="Palatino Linotype"/>
          <w:sz w:val="22"/>
          <w:szCs w:val="22"/>
        </w:rPr>
        <w:t xml:space="preserve">PM-6, PM-8, and PM-10 each condense a different physical excitation, but all three share an underlying assumption: the condensate exchanges particle number with its environment in a way that is either strictly forbidden (PM-6’s closed cold-atom trap), continuously and actively regulated toward a steady-state mean (PM-8’s pumped polariton condensate), or continuously regulated with an experimentally accessible free-decay window (PM-10’s magnon condensate). A photon condensate in a dye-filled microcavity introduces a genuinely different relationship to particle number. Photons are absorbed and re-emitted by dye molecules many times before escaping the cavity or being lost to non-radiative decay, and this repeated cycling thermalizes the photon gas to the temperature of the dye solution — room temperature — while allowing the photon number in the condensate to fluctuate according to genuine grand-canonical statistics, because the dye reservoir can, on the relevant timescale, absorb or supply photons much as a chemical reservoir exchanges particles with a system held at fixed chemical potential rather than fixed particle number.</w:t>
      </w:r>
    </w:p>
    <w:p>
      <w:pPr>
        <w:spacing w:after="200" w:line="276"/>
        <w:jc w:val="both"/>
      </w:pPr>
      <w:r>
        <w:rPr>
          <w:rFonts w:ascii="Palatino Linotype" w:cs="Palatino Linotype" w:eastAsia="Palatino Linotype" w:hAnsi="Palatino Linotype"/>
          <w:sz w:val="22"/>
          <w:szCs w:val="22"/>
        </w:rPr>
        <w:t xml:space="preserve">This gives PM-12 a distinct axis from PM-8 and PM-10: not whether the phaset formalism’s amplitude coordinate survives being actively regulated toward a fixed set point, but whether it survives genuine thermodynamic fluctuation — the amplitude itself sampled from a grand-canonical ensemble rather than held near a mean by continuous external control.</w:t>
      </w:r>
    </w:p>
    <w:p>
      <w:pPr>
        <w:pStyle w:val="Heading1"/>
        <w:pBdr>
          <w:bottom w:val="single" w:color="B8922B" w:sz="6" w:space="4"/>
        </w:pBdr>
        <w:spacing w:after="200" w:before="400"/>
      </w:pPr>
      <w:r>
        <w:rPr>
          <w:rFonts w:ascii="Arial" w:cs="Arial" w:eastAsia="Arial" w:hAnsi="Arial"/>
          <w:b/>
          <w:bCs/>
          <w:color w:val="1B2A4A"/>
          <w:sz w:val="26"/>
          <w:szCs w:val="26"/>
        </w:rPr>
        <w:t xml:space="preserve">II. Photon Condensation in a Dye Microcavity: Established Phenomenology</w:t>
      </w:r>
    </w:p>
    <w:p>
      <w:pPr>
        <w:spacing w:after="200" w:line="276"/>
        <w:jc w:val="both"/>
      </w:pPr>
      <w:r>
        <w:rPr>
          <w:rFonts w:ascii="Palatino Linotype" w:cs="Palatino Linotype" w:eastAsia="Palatino Linotype" w:hAnsi="Palatino Linotype"/>
          <w:sz w:val="22"/>
          <w:szCs w:val="22"/>
        </w:rPr>
        <w:t xml:space="preserve">The Bonn-group apparatus consists of two closely spaced, highly reflective, concave mirrors enclosing a thin layer of dye solution (typically rhodamine 6G). The mirror curvature imposes a low-frequency cutoff on the cavity photon modes and an effective two-dimensional harmonic trapping potential in the plane of the mirrors, which together give cavity photons a dispersion relation identical in form to that of a massive, non-relativistic particle in a harmonic trap — an effective photon mass set entirely by the cavity geometry, roughly ten orders of magnitude smaller than an electron’s rest mass. Photons are repeatedly absorbed and re-emitted by the dye molecules on a timescale much faster than the photon cavity lifetime, and because dye absorption and emission spectra are related by the Kennard–Stepanov relation — itself a statement of detailed balance at the dye solution’s temperature — this repeated cycling thermalizes the photon gas to room temperature rather than to any effective temperature set by the photons’ own dynamics. Above a threshold photon number, the gas undergoes genuine Bose–Einstein condensation into the cavity’s lowest transverse mode, confirmed by Klaers et al. via the characteristic narrowing of the spatial and spectral photon distribution and, independently, via second-order coherence measurements.</w:t>
      </w:r>
    </w:p>
    <w:p>
      <w:pPr>
        <w:pStyle w:val="Heading1"/>
        <w:pBdr>
          <w:bottom w:val="single" w:color="B8922B" w:sz="6" w:space="4"/>
        </w:pBdr>
        <w:spacing w:after="200" w:before="400"/>
      </w:pPr>
      <w:r>
        <w:rPr>
          <w:rFonts w:ascii="Arial" w:cs="Arial" w:eastAsia="Arial" w:hAnsi="Arial"/>
          <w:b/>
          <w:bCs/>
          <w:color w:val="1B2A4A"/>
          <w:sz w:val="26"/>
          <w:szCs w:val="26"/>
        </w:rPr>
        <w:t xml:space="preserve">III. Grand-Canonical Number Statistics: A Genuinely Different Statistical Ensemble</w:t>
      </w:r>
    </w:p>
    <w:p>
      <w:pPr>
        <w:spacing w:after="200" w:line="276"/>
        <w:jc w:val="both"/>
      </w:pPr>
      <w:r>
        <w:rPr>
          <w:rFonts w:ascii="Palatino Linotype" w:cs="Palatino Linotype" w:eastAsia="Palatino Linotype" w:hAnsi="Palatino Linotype"/>
          <w:sz w:val="22"/>
          <w:szCs w:val="22"/>
        </w:rPr>
        <w:t xml:space="preserve">Because the dye reservoir can exchange photons with the cavity mode much as a particle reservoir exchanges atoms with a system at fixed chemical potential, the photon BEC is a rare condensed-matter realization of a genuine grand-canonical ensemble, rather than the canonical (fixed total particle number) ensemble implicitly assumed in most condensed-matter BEC treatments, including the cold-atom candidate of PM-6. Schmitt et al. directly measured this in 2014, finding condensate photon-number fluctuations substantially larger than the canonical-ensemble prediction and in quantitative agreement with grand-canonical statistical mechanics — a result with no direct counterpart in the cold-atom, polariton, or magnon candidates addressed earlier in this series, each of which is either strictly number-conserving or actively regulated in a way that suppresses this specific fluctuation channel. Walker et al. extended this line of work in 2018 to the few-photon regime, directly resolving discrete photon-number statistics in condensates of fewer than ten photons and confirming non-equilibrium corrections to the idealized grand-canonical picture predicted by Kirton and Keeling’s non-equilibrium photon-condensation theory.</w:t>
      </w:r>
    </w:p>
    <w:p>
      <w:pPr>
        <w:pStyle w:val="Heading1"/>
        <w:pBdr>
          <w:bottom w:val="single" w:color="B8922B" w:sz="6" w:space="4"/>
        </w:pBdr>
        <w:spacing w:after="200" w:before="400"/>
      </w:pPr>
      <w:r>
        <w:rPr>
          <w:rFonts w:ascii="Arial" w:cs="Arial" w:eastAsia="Arial" w:hAnsi="Arial"/>
          <w:b/>
          <w:bCs/>
          <w:color w:val="1B2A4A"/>
          <w:sz w:val="26"/>
          <w:szCs w:val="26"/>
        </w:rPr>
        <w:t xml:space="preserve">IV. Vortices and Engineered Photon-Condensate Potentials</w:t>
      </w:r>
    </w:p>
    <w:p>
      <w:pPr>
        <w:spacing w:after="200" w:line="276"/>
        <w:jc w:val="both"/>
      </w:pPr>
      <w:r>
        <w:rPr>
          <w:rFonts w:ascii="Palatino Linotype" w:cs="Palatino Linotype" w:eastAsia="Palatino Linotype" w:hAnsi="Palatino Linotype"/>
          <w:sz w:val="22"/>
          <w:szCs w:val="22"/>
        </w:rPr>
        <w:t xml:space="preserve">Because the effective photon mass and harmonic trap can be engineered directly through mirror shape and dye cell geometry, dye-microcavity photon condensates support the same qualitative repertoire of coherent phenomena addressed for cold-atom BECs in PM-6: phase-imprinted or spontaneously nucleated vortices, and, in engineered multi-well mirror geometries, coupled condensates exhibiting Josephson-like tunneling dynamics between spatially separated photon puddles. Marelic and Nyman demonstrated in 2015 that spatial inhomogeneity in the pump profile produces measurable energy-dependent and spatially structured deviations from the idealized single-mode condensate picture, indicating that the photon condensate’s phase and density structure is directly experimentally accessible and controllable through the same kind of engineered-potential techniques used for cold-atom BECs.</w:t>
      </w:r>
    </w:p>
    <w:p>
      <w:pPr>
        <w:pStyle w:val="Heading1"/>
        <w:pBdr>
          <w:bottom w:val="single" w:color="B8922B" w:sz="6" w:space="4"/>
        </w:pBdr>
        <w:spacing w:after="200" w:before="400"/>
      </w:pPr>
      <w:r>
        <w:rPr>
          <w:rFonts w:ascii="Arial" w:cs="Arial" w:eastAsia="Arial" w:hAnsi="Arial"/>
          <w:b/>
          <w:bCs/>
          <w:color w:val="1B2A4A"/>
          <w:sz w:val="26"/>
          <w:szCs w:val="26"/>
        </w:rPr>
        <w:t xml:space="preserve">V. Correspondence to the Phase Configuration Manifold</w:t>
      </w:r>
    </w:p>
    <w:p>
      <w:pPr>
        <w:spacing w:after="200" w:line="276"/>
        <w:jc w:val="both"/>
      </w:pPr>
      <w:r>
        <w:rPr>
          <w:rFonts w:ascii="Palatino Linotype" w:cs="Palatino Linotype" w:eastAsia="Palatino Linotype" w:hAnsi="Palatino Linotype"/>
          <w:sz w:val="22"/>
          <w:szCs w:val="22"/>
        </w:rPr>
        <w:t xml:space="preserve">The proposed correspondence identifies the photon condensate field ψ_ph(r,t) = √n_ph(r,t)·e^{iθ_ph(r,t)} with the phaset’s coordinates as in PM-6, PM-8, and PM-10: n_ph with coherence amplitude and the winding number of θ_ph around an engineered or spontaneously nucleated vortex with the topological-sector coordinate. The structural distinction from all three prior BEC-type candidates is that n_ph is neither conserved (PM-6) nor actively held near a fixed steady-state mean by continuous gain-loss balance (PM-8, PM-10), but is instead genuinely grand-canonically fluctuating, sampled from a thermal distribution set by the dye reservoir’s chemical potential and temperature. Under this correspondence, the phaset’s coherence-amplitude coordinate in the photon-BEC realization is a thermodynamic random variable in its own right, not merely a slowly varying classical field — the most literal instance in this series of the amplitude coordinate behaving as a genuine statistical-mechanical quantity.</w:t>
      </w:r>
    </w:p>
    <w:p>
      <w:pPr>
        <w:pStyle w:val="Heading1"/>
        <w:pBdr>
          <w:bottom w:val="single" w:color="B8922B" w:sz="6" w:space="4"/>
        </w:pBdr>
        <w:spacing w:after="200" w:before="400"/>
      </w:pPr>
      <w:r>
        <w:rPr>
          <w:rFonts w:ascii="Arial" w:cs="Arial" w:eastAsia="Arial" w:hAnsi="Arial"/>
          <w:b/>
          <w:bCs/>
          <w:color w:val="1B2A4A"/>
          <w:sz w:val="26"/>
          <w:szCs w:val="26"/>
        </w:rPr>
        <w:t xml:space="preserve">VI. Falsifiable Predictions</w:t>
      </w:r>
    </w:p>
    <w:p>
      <w:pPr>
        <w:pStyle w:val="Heading2"/>
        <w:spacing w:after="140" w:before="260"/>
      </w:pPr>
      <w:r>
        <w:rPr>
          <w:rFonts w:ascii="Arial" w:cs="Arial" w:eastAsia="Arial" w:hAnsi="Arial"/>
          <w:b/>
          <w:bCs/>
          <w:color w:val="1B2A4A"/>
          <w:sz w:val="22"/>
          <w:szCs w:val="22"/>
        </w:rPr>
        <w:t xml:space="preserve">Prediction 1 — Correlated grand-canonical amplitude and topological-sector fluctuations</w:t>
      </w:r>
    </w:p>
    <w:p>
      <w:pPr>
        <w:spacing w:after="200" w:line="276"/>
        <w:jc w:val="both"/>
      </w:pPr>
      <w:r>
        <w:rPr>
          <w:rFonts w:ascii="Palatino Linotype" w:cs="Palatino Linotype" w:eastAsia="Palatino Linotype" w:hAnsi="Palatino Linotype"/>
          <w:sz w:val="22"/>
          <w:szCs w:val="22"/>
        </w:rPr>
        <w:t xml:space="preserve">Standard grand-canonical photon-condensation theory (in the tradition of the Kirton–Keeling non-equilibrium model) treats amplitude fluctuations (condensate photon number) and phase or vortex dynamics as largely decoupled at linear order — number fluctuations arise from stochastic exchange with the dye reservoir, while vortex nucleation is governed separately by phase-gradient dynamics, with no structural coupling between the two channels beyond what nonlinear photon–photon interaction terms weakly provide. The phaset correspondence predicts a measurable statistical coupling beyond this weak-nonlinearity baseline: vortex or phase-singularity nucleation events should show a measurable correlation with large grand-canonical number-fluctuation events in the same time series, if the coherence-amplitude and topological-sector coordinates are linked through the phaset formalism’s structure rather than being independent stochastic channels.</w:t>
      </w:r>
    </w:p>
    <w:p>
      <w:pPr>
        <w:pStyle w:val="Heading2"/>
        <w:spacing w:after="140" w:before="260"/>
      </w:pPr>
      <w:r>
        <w:rPr>
          <w:rFonts w:ascii="Arial" w:cs="Arial" w:eastAsia="Arial" w:hAnsi="Arial"/>
          <w:b/>
          <w:bCs/>
          <w:color w:val="1B2A4A"/>
          <w:sz w:val="22"/>
          <w:szCs w:val="22"/>
        </w:rPr>
        <w:t xml:space="preserve">Prediction 2 — Discrete structure in Josephson phase-locking threshold versus reservoir coupling strength</w:t>
      </w:r>
    </w:p>
    <w:p>
      <w:pPr>
        <w:spacing w:after="200" w:line="276"/>
        <w:jc w:val="both"/>
      </w:pPr>
      <w:r>
        <w:rPr>
          <w:rFonts w:ascii="Palatino Linotype" w:cs="Palatino Linotype" w:eastAsia="Palatino Linotype" w:hAnsi="Palatino Linotype"/>
          <w:sz w:val="22"/>
          <w:szCs w:val="22"/>
        </w:rPr>
        <w:t xml:space="preserve">For two engineered, weakly coupled photon condensates (a double-well mirror or dye-cell geometry), standard coupled grand-canonical photon-gas theory predicts a phase-locking threshold that varies smoothly with the dye absorption/emission coupling strength (tunable via dye concentration or cavity detuning), analogous to the smooth thresholds tested for cold-atom and polariton Josephson junctions in PM-6 and PM-8. The phaset correspondence predicts discrete steps or kinks in this threshold at specific reservoir-coupling values corresponding to sector-boundary crossings, rather than a smooth dependence.</w:t>
      </w:r>
    </w:p>
    <w:p>
      <w:pPr>
        <w:spacing w:after="200" w:line="276"/>
        <w:jc w:val="both"/>
      </w:pPr>
      <w:r>
        <w:rPr>
          <w:rFonts w:ascii="Palatino Linotype" w:cs="Palatino Linotype" w:eastAsia="Palatino Linotype" w:hAnsi="Palatino Linotype"/>
          <w:sz w:val="22"/>
          <w:szCs w:val="22"/>
        </w:rPr>
        <w:t xml:space="preserve">A null result on both — statistically independent amplitude and vortex-nucleation fluctuations, and a smooth Josephson phase-locking threshold at all tested reservoir-coupling strengths — would indicate that the genuinely grand-canonical character of this candidate’s amplitude coordinate does not, on its own, expose additional phaset structure beyond what the canonical and actively regulated BEC-type candidates of PM-6, PM-8, and PM-10 already test.</w:t>
      </w:r>
    </w:p>
    <w:p>
      <w:pPr>
        <w:pStyle w:val="Heading1"/>
        <w:pBdr>
          <w:bottom w:val="single" w:color="B8922B" w:sz="6" w:space="4"/>
        </w:pBdr>
        <w:spacing w:after="200" w:before="400"/>
      </w:pPr>
      <w:r>
        <w:rPr>
          <w:rFonts w:ascii="Arial" w:cs="Arial" w:eastAsia="Arial" w:hAnsi="Arial"/>
          <w:b/>
          <w:bCs/>
          <w:color w:val="1B2A4A"/>
          <w:sz w:val="26"/>
          <w:szCs w:val="26"/>
        </w:rPr>
        <w:t xml:space="preserve">VII. Experimental Protocol</w:t>
      </w:r>
    </w:p>
    <w:p>
      <w:pPr>
        <w:pStyle w:val="ListParagraph"/>
        <w:numPr>
          <w:ilvl w:val="0"/>
          <w:numId w:val="2"/>
        </w:numPr>
        <w:spacing w:after="120"/>
      </w:pPr>
      <w:r>
        <w:rPr>
          <w:rFonts w:ascii="Palatino Linotype" w:cs="Palatino Linotype" w:eastAsia="Palatino Linotype" w:hAnsi="Palatino Linotype"/>
          <w:sz w:val="22"/>
          <w:szCs w:val="22"/>
        </w:rPr>
        <w:t xml:space="preserve">Platform: a rhodamine-6G dye-filled microcavity with concave mirrors following the established Klaers/Weitz group configuration, operated at room temperature, with photon leakage through one partially transmissive mirror providing the measurement channel.</w:t>
      </w:r>
    </w:p>
    <w:p>
      <w:pPr>
        <w:pStyle w:val="ListParagraph"/>
        <w:numPr>
          <w:ilvl w:val="0"/>
          <w:numId w:val="2"/>
        </w:numPr>
        <w:spacing w:after="120"/>
      </w:pPr>
      <w:r>
        <w:rPr>
          <w:rFonts w:ascii="Palatino Linotype" w:cs="Palatino Linotype" w:eastAsia="Palatino Linotype" w:hAnsi="Palatino Linotype"/>
          <w:sz w:val="22"/>
          <w:szCs w:val="22"/>
        </w:rPr>
        <w:t xml:space="preserve">Grand-canonical fluctuation and vortex correlation: simultaneous Hanbury Brown–Twiss photon-counting statistics (following the Schmitt et al. and Walker et al. protocols) and phase-resolved interferometric imaging (Michelson-type reference arm) of the condensate mode, recorded concurrently across many repeated measurement runs, to test for statistical correlation between large number-fluctuation events and vortex or phase-singularity nucleation events.</w:t>
      </w:r>
    </w:p>
    <w:p>
      <w:pPr>
        <w:pStyle w:val="ListParagraph"/>
        <w:numPr>
          <w:ilvl w:val="0"/>
          <w:numId w:val="2"/>
        </w:numPr>
        <w:spacing w:after="120"/>
      </w:pPr>
      <w:r>
        <w:rPr>
          <w:rFonts w:ascii="Palatino Linotype" w:cs="Palatino Linotype" w:eastAsia="Palatino Linotype" w:hAnsi="Palatino Linotype"/>
          <w:sz w:val="22"/>
          <w:szCs w:val="22"/>
        </w:rPr>
        <w:t xml:space="preserve">Josephson threshold measurement: an engineered double-well mirror or dye-cell geometry supporting two weakly coupled condensate puddles, with dye concentration or cavity detuning varied to tune reservoir coupling strength, and phase-locking threshold mapped via time-resolved interferometric phase measurement between the two puddles across a fine grid of coupling strengths.</w:t>
      </w:r>
    </w:p>
    <w:p>
      <w:pPr>
        <w:pStyle w:val="ListParagraph"/>
        <w:numPr>
          <w:ilvl w:val="0"/>
          <w:numId w:val="2"/>
        </w:numPr>
        <w:spacing w:after="120"/>
      </w:pPr>
      <w:r>
        <w:rPr>
          <w:rFonts w:ascii="Palatino Linotype" w:cs="Palatino Linotype" w:eastAsia="Palatino Linotype" w:hAnsi="Palatino Linotype"/>
          <w:sz w:val="22"/>
          <w:szCs w:val="22"/>
        </w:rPr>
        <w:t xml:space="preserve">Coherence verification: standard second-order coherence (g²) measurement at each condition to confirm genuine condensation (as opposed to sub-threshold thermal light) before proceeding with either correlation or Josephson measurements.</w:t>
      </w:r>
    </w:p>
    <w:p>
      <w:pPr>
        <w:pStyle w:val="ListParagraph"/>
        <w:numPr>
          <w:ilvl w:val="0"/>
          <w:numId w:val="2"/>
        </w:numPr>
        <w:spacing w:after="120"/>
      </w:pPr>
      <w:r>
        <w:rPr>
          <w:rFonts w:ascii="Palatino Linotype" w:cs="Palatino Linotype" w:eastAsia="Palatino Linotype" w:hAnsi="Palatino Linotype"/>
          <w:sz w:val="22"/>
          <w:szCs w:val="22"/>
        </w:rPr>
        <w:t xml:space="preserve">Control: repetition of both protocols below the condensation threshold and with the dye reservoir coupling deliberately detuned far from the thermalizing regime, to confirm that any observed correlation or threshold fine structure is tied to genuine grand-canonical condensate dynamics rather than pump-laser or detection-chain artifacts.</w:t>
      </w:r>
    </w:p>
    <w:p>
      <w:pPr>
        <w:pStyle w:val="Heading1"/>
        <w:pBdr>
          <w:bottom w:val="single" w:color="B8922B" w:sz="6" w:space="4"/>
        </w:pBdr>
        <w:spacing w:after="200" w:before="400"/>
      </w:pPr>
      <w:r>
        <w:rPr>
          <w:rFonts w:ascii="Arial" w:cs="Arial" w:eastAsia="Arial" w:hAnsi="Arial"/>
          <w:b/>
          <w:bCs/>
          <w:color w:val="1B2A4A"/>
          <w:sz w:val="26"/>
          <w:szCs w:val="26"/>
        </w:rPr>
        <w:t xml:space="preserve">VIII. Relation to the Phase DiVincenzo Criteria</w:t>
      </w:r>
    </w:p>
    <w:p>
      <w:pPr>
        <w:spacing w:after="200" w:line="276"/>
        <w:jc w:val="both"/>
      </w:pPr>
      <w:r>
        <w:rPr>
          <w:rFonts w:ascii="Palatino Linotype" w:cs="Palatino Linotype" w:eastAsia="Palatino Linotype" w:hAnsi="Palatino Linotype"/>
          <w:sz w:val="22"/>
          <w:szCs w:val="22"/>
        </w:rPr>
        <w:t xml:space="preserve">Photon condensates are comparatively strong against the PDC criteria concerned with practical, room-temperature accessibility and optical readout: no cryogenic infrastructure is required, and the entire measurement chain is standard tabletop quantum optics. They are comparatively weak against criteria concerned with long-timescale, isolated coherence preservation, for a reason distinct from the driven-dissipative candidates of PM-8 and PM-10: here the amplitude coordinate is not merely actively regulated against loss but is fundamentally and continuously exchanging with a thermal reservoir by design, making an isolated, undisturbed phaset state — the implicit assumption behind several PDC criteria — not just practically difficult but conceptually foreign to how this candidate operates. No existing experiment demonstrates coherent coupling or entanglement between independently addressed photon condensates in the sense the Josephson-junction or cold-atom candidates (PM-4, PM-6) already do.</w:t>
      </w:r>
    </w:p>
    <w:p>
      <w:pPr>
        <w:pStyle w:val="Heading1"/>
        <w:pBdr>
          <w:bottom w:val="single" w:color="B8922B" w:sz="6" w:space="4"/>
        </w:pBdr>
        <w:spacing w:after="200" w:before="400"/>
      </w:pPr>
      <w:r>
        <w:rPr>
          <w:rFonts w:ascii="Arial" w:cs="Arial" w:eastAsia="Arial" w:hAnsi="Arial"/>
          <w:b/>
          <w:bCs/>
          <w:color w:val="1B2A4A"/>
          <w:sz w:val="26"/>
          <w:szCs w:val="26"/>
        </w:rPr>
        <w:t xml:space="preserve">IX. Limitations and Falsification Conditions</w:t>
      </w:r>
    </w:p>
    <w:p>
      <w:pPr>
        <w:spacing w:after="200" w:line="276"/>
        <w:jc w:val="both"/>
      </w:pPr>
      <w:r>
        <w:rPr>
          <w:rFonts w:ascii="Palatino Linotype" w:cs="Palatino Linotype" w:eastAsia="Palatino Linotype" w:hAnsi="Palatino Linotype"/>
          <w:sz w:val="22"/>
          <w:szCs w:val="22"/>
        </w:rPr>
        <w:t xml:space="preserve">This note’s correspondence carries no implication for any other candidate in this series. It is falsified on its own terms if the amplitude and vortex-nucleation fluctuations in Prediction 1 are found to be statistically independent to the precision of the measurement, and if the Josephson phase-locking threshold in Prediction 2 varies smoothly with reservoir coupling strength with no resolvable discrete structure. Because the underlying grand-canonical photon-condensation theory this note is tested against is independently well-verified on this exact platform — including at the single-photon-counting level — a null result on both predictions would indicate that the genuinely thermodynamic character of this candidate’s amplitude coordinate does not, by itself, expose additional phaset structure beyond what a merely fluctuating (rather than reservoir-coupled) amplitude would.</w:t>
      </w:r>
    </w:p>
    <w:p>
      <w:pPr>
        <w:pStyle w:val="Heading1"/>
        <w:pBdr>
          <w:bottom w:val="single" w:color="B8922B" w:sz="6" w:space="4"/>
        </w:pBdr>
        <w:spacing w:after="200" w:before="400"/>
      </w:pPr>
      <w:r>
        <w:rPr>
          <w:rFonts w:ascii="Arial" w:cs="Arial" w:eastAsia="Arial" w:hAnsi="Arial"/>
          <w:b/>
          <w:bCs/>
          <w:color w:val="1B2A4A"/>
          <w:sz w:val="26"/>
          <w:szCs w:val="26"/>
        </w:rPr>
        <w:t xml:space="preserve">X. Conclusion</w:t>
      </w:r>
    </w:p>
    <w:p>
      <w:pPr>
        <w:spacing w:after="200" w:line="276"/>
        <w:jc w:val="both"/>
      </w:pPr>
      <w:r>
        <w:rPr>
          <w:rFonts w:ascii="Palatino Linotype" w:cs="Palatino Linotype" w:eastAsia="Palatino Linotype" w:hAnsi="Palatino Linotype"/>
          <w:sz w:val="22"/>
          <w:szCs w:val="22"/>
        </w:rPr>
        <w:t xml:space="preserve">Photon Bose–Einstein condensates thermalize by a mechanism unavailable to any other candidate in this series — repeated absorption and re-emission cycling with a molecular dye reservoir — and this gives their condensate amplitude coordinate a genuinely grand-canonical statistical character, directly measured down to the single-photon level, rather than the conserved or actively regulated amplitude addressed in PM-6, PM-8, and PM-10. This note has reviewed the established phenomenology of dye-microcavity condensation and its distinctive number-fluctuation statistics, proposed a correspondence to the Phase Mechanics phaset that treats the amplitude coordinate as a thermodynamic random variable, and specified two falsifiable predictions — correlated amplitude/vortex fluctuations and discretized Josephson threshold structure — both testable with standard room-temperature photon-counting and interferometric techniques. Together with PM-2 through PM-11, this note extends the series to a candidate whose defining physical mechanism is thermodynamic exchange with a reservoir rather than closed evolution, active steady-state regulation, or contested existence.</w:t>
      </w:r>
    </w:p>
    <w:p>
      <w:r>
        <w:br w:type="page"/>
      </w:r>
    </w:p>
    <w:p>
      <w:pPr>
        <w:pStyle w:val="Heading2"/>
        <w:spacing w:after="140" w:before="260"/>
      </w:pPr>
      <w:r>
        <w:rPr>
          <w:rFonts w:ascii="Arial" w:cs="Arial" w:eastAsia="Arial" w:hAnsi="Arial"/>
          <w:b/>
          <w:bCs/>
          <w:color w:val="1B2A4A"/>
          <w:sz w:val="22"/>
          <w:szCs w:val="22"/>
        </w:rPr>
        <w:t xml:space="preserve">References</w:t>
      </w:r>
    </w:p>
    <w:p>
      <w:pPr>
        <w:spacing w:after="120"/>
        <w:ind w:left="360" w:hanging="360"/>
      </w:pPr>
      <w:r>
        <w:rPr>
          <w:rFonts w:ascii="Palatino Linotype" w:cs="Palatino Linotype" w:eastAsia="Palatino Linotype" w:hAnsi="Palatino Linotype"/>
          <w:b/>
          <w:bCs/>
          <w:sz w:val="22"/>
          <w:szCs w:val="22"/>
        </w:rPr>
        <w:t xml:space="preserve">[1] </w:t>
      </w:r>
      <w:r>
        <w:rPr>
          <w:rFonts w:ascii="Palatino Linotype" w:cs="Palatino Linotype" w:eastAsia="Palatino Linotype" w:hAnsi="Palatino Linotype"/>
          <w:sz w:val="22"/>
          <w:szCs w:val="22"/>
        </w:rPr>
        <w:t xml:space="preserve">Klaers, J., Schmitt, J., Vewinger, F., and Weitz, M. “Bose–Einstein condensation of photons in an optical microcavity.” Nature 468, 545 (2010).</w:t>
      </w:r>
    </w:p>
    <w:p>
      <w:pPr>
        <w:spacing w:after="120"/>
        <w:ind w:left="360" w:hanging="360"/>
      </w:pPr>
      <w:r>
        <w:rPr>
          <w:rFonts w:ascii="Palatino Linotype" w:cs="Palatino Linotype" w:eastAsia="Palatino Linotype" w:hAnsi="Palatino Linotype"/>
          <w:b/>
          <w:bCs/>
          <w:sz w:val="22"/>
          <w:szCs w:val="22"/>
        </w:rPr>
        <w:t xml:space="preserve">[2] </w:t>
      </w:r>
      <w:r>
        <w:rPr>
          <w:rFonts w:ascii="Palatino Linotype" w:cs="Palatino Linotype" w:eastAsia="Palatino Linotype" w:hAnsi="Palatino Linotype"/>
          <w:sz w:val="22"/>
          <w:szCs w:val="22"/>
        </w:rPr>
        <w:t xml:space="preserve">Schmitt, J. et al. “Observation of grand-canonical number statistics in a photon Bose–Einstein condensate.” Physical Review Letters 112, 030401 (2014).</w:t>
      </w:r>
    </w:p>
    <w:p>
      <w:pPr>
        <w:spacing w:after="120"/>
        <w:ind w:left="360" w:hanging="360"/>
      </w:pPr>
      <w:r>
        <w:rPr>
          <w:rFonts w:ascii="Palatino Linotype" w:cs="Palatino Linotype" w:eastAsia="Palatino Linotype" w:hAnsi="Palatino Linotype"/>
          <w:b/>
          <w:bCs/>
          <w:sz w:val="22"/>
          <w:szCs w:val="22"/>
        </w:rPr>
        <w:t xml:space="preserve">[3] </w:t>
      </w:r>
      <w:r>
        <w:rPr>
          <w:rFonts w:ascii="Palatino Linotype" w:cs="Palatino Linotype" w:eastAsia="Palatino Linotype" w:hAnsi="Palatino Linotype"/>
          <w:sz w:val="22"/>
          <w:szCs w:val="22"/>
        </w:rPr>
        <w:t xml:space="preserve">Kirton, P. and Keeling, J. “Nonequilibrium model of photon condensation.” Physical Review Letters 111, 100404 (2013).</w:t>
      </w:r>
    </w:p>
    <w:p>
      <w:pPr>
        <w:spacing w:after="120"/>
        <w:ind w:left="360" w:hanging="360"/>
      </w:pPr>
      <w:r>
        <w:rPr>
          <w:rFonts w:ascii="Palatino Linotype" w:cs="Palatino Linotype" w:eastAsia="Palatino Linotype" w:hAnsi="Palatino Linotype"/>
          <w:b/>
          <w:bCs/>
          <w:sz w:val="22"/>
          <w:szCs w:val="22"/>
        </w:rPr>
        <w:t xml:space="preserve">[4] </w:t>
      </w:r>
      <w:r>
        <w:rPr>
          <w:rFonts w:ascii="Palatino Linotype" w:cs="Palatino Linotype" w:eastAsia="Palatino Linotype" w:hAnsi="Palatino Linotype"/>
          <w:sz w:val="22"/>
          <w:szCs w:val="22"/>
        </w:rPr>
        <w:t xml:space="preserve">Marelic, J. and Nyman, R. A. “Experimental evidence for inhomogeneous pumping and energy-dependent effects in photon Bose–Einstein condensation.” Physical Review A 91, 033813 (2015).</w:t>
      </w:r>
    </w:p>
    <w:p>
      <w:pPr>
        <w:spacing w:after="120"/>
        <w:ind w:left="360" w:hanging="360"/>
      </w:pPr>
      <w:r>
        <w:rPr>
          <w:rFonts w:ascii="Palatino Linotype" w:cs="Palatino Linotype" w:eastAsia="Palatino Linotype" w:hAnsi="Palatino Linotype"/>
          <w:b/>
          <w:bCs/>
          <w:sz w:val="22"/>
          <w:szCs w:val="22"/>
        </w:rPr>
        <w:t xml:space="preserve">[5] </w:t>
      </w:r>
      <w:r>
        <w:rPr>
          <w:rFonts w:ascii="Palatino Linotype" w:cs="Palatino Linotype" w:eastAsia="Palatino Linotype" w:hAnsi="Palatino Linotype"/>
          <w:sz w:val="22"/>
          <w:szCs w:val="22"/>
        </w:rPr>
        <w:t xml:space="preserve">Walker, B. T., Flatté, L. C., Marelic, J., Rubiack, R. I., and Nyman, R. A. “Driven-dissipative non-equilibrium Bose–Einstein condensation of less than ten photons.” Nature Physics 14, 1173 (2018).</w:t>
      </w:r>
    </w:p>
    <w:p>
      <w:pPr>
        <w:spacing w:after="120"/>
        <w:ind w:left="360" w:hanging="360"/>
      </w:pPr>
      <w:r>
        <w:rPr>
          <w:rFonts w:ascii="Palatino Linotype" w:cs="Palatino Linotype" w:eastAsia="Palatino Linotype" w:hAnsi="Palatino Linotype"/>
          <w:b/>
          <w:bCs/>
          <w:sz w:val="22"/>
          <w:szCs w:val="22"/>
        </w:rPr>
        <w:t xml:space="preserve">[6] </w:t>
      </w:r>
      <w:r>
        <w:rPr>
          <w:rFonts w:ascii="Palatino Linotype" w:cs="Palatino Linotype" w:eastAsia="Palatino Linotype" w:hAnsi="Palatino Linotype"/>
          <w:sz w:val="22"/>
          <w:szCs w:val="22"/>
        </w:rPr>
        <w:t xml:space="preserve">Phase Mechanics core papers PM-DECL-001 and PM-1 (Dust LLC, 2026); Phase Engineering foundational paper PE-0 (Dust LLC, 2026); Deployment Notes PM-2 through PM-11 (Dust LLC,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PM-12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22B" w:sz="4" w:space="4"/>
      </w:pBdr>
      <w:tabs>
        <w:tab w:val="right" w:pos="11340"/>
      </w:tabs>
    </w:pPr>
    <w:r>
      <w:rPr>
        <w:rFonts w:ascii="Arial" w:cs="Arial" w:eastAsia="Arial" w:hAnsi="Arial"/>
        <w:b/>
        <w:bCs/>
        <w:color w:val="1B2A4A"/>
        <w:sz w:val="16"/>
        <w:szCs w:val="16"/>
      </w:rPr>
      <w:t xml:space="preserve">DUST LLC</w:t>
    </w:r>
    <w:r>
      <w:rPr>
        <w:rFonts w:ascii="Arial" w:cs="Arial" w:eastAsia="Arial" w:hAnsi="Arial"/>
        <w:color w:val="666666"/>
        <w:sz w:val="16"/>
        <w:szCs w:val="16"/>
      </w:rPr>
      <w:t xml:space="preserve">	Phase Mechanics — Deployment Note PM-12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2026-08-04T08:41:27.375Z</dcterms:created>
  <dcterms:modified xsi:type="dcterms:W3CDTF">2026-08-04T08:41:27.394Z</dcterms:modified>
</cp:coreProperties>
</file>

<file path=docProps/custom.xml><?xml version="1.0" encoding="utf-8"?>
<Properties xmlns="http://schemas.openxmlformats.org/officeDocument/2006/custom-properties" xmlns:vt="http://schemas.openxmlformats.org/officeDocument/2006/docPropsVTypes"/>
</file>