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C9A84C"/>
          <w:sz w:val="20"/>
          <w:szCs w:val="20"/>
        </w:rPr>
        <w:t xml:space="preserve">SR-11</w:t>
      </w:r>
    </w:p>
    <w:p>
      <w:pPr>
        <w:spacing w:after="80"/>
        <w:jc w:val="center"/>
      </w:pPr>
      <w:r>
        <w:rPr>
          <w:rFonts w:ascii="Arial" w:cs="Arial" w:eastAsia="Arial" w:hAnsi="Arial"/>
          <w:b/>
          <w:bCs/>
          <w:color w:val="0B1F3A"/>
          <w:sz w:val="32"/>
          <w:szCs w:val="32"/>
        </w:rPr>
        <w:t xml:space="preserve">Optomechanical Phonon Lattices as a Literal Mechanical Realization of Spectron String Tension</w:t>
      </w:r>
    </w:p>
    <w:p>
      <w:pPr>
        <w:spacing w:after="300"/>
        <w:jc w:val="center"/>
      </w:pPr>
      <w:r>
        <w:rPr>
          <w:rFonts w:ascii="Arial" w:cs="Arial" w:eastAsia="Arial" w:hAnsi="Arial"/>
          <w:i/>
          <w:iCs/>
          <w:color w:val="3A3A3A"/>
          <w:sz w:val="24"/>
          <w:szCs w:val="24"/>
        </w:rPr>
        <w:t xml:space="preserve">A Deployment Note for Spectral Resonance String Mechanics (SRSM)</w:t>
      </w:r>
    </w:p>
    <w:p>
      <w:pPr>
        <w:spacing w:after="40"/>
        <w:jc w:val="center"/>
      </w:pPr>
      <w:r>
        <w:rPr>
          <w:rFonts w:ascii="Palatino Linotype" w:cs="Palatino Linotype" w:eastAsia="Palatino Linotype" w:hAnsi="Palatino Linotype"/>
          <w:b/>
          <w:bCs/>
          <w:sz w:val="24"/>
          <w:szCs w:val="24"/>
        </w:rPr>
        <w:t xml:space="preserve">M. Brownlee</w:t>
      </w:r>
    </w:p>
    <w:p>
      <w:pPr>
        <w:spacing w:after="40"/>
        <w:jc w:val="center"/>
      </w:pPr>
      <w:r>
        <w:rPr>
          <w:rFonts w:ascii="Palatino Linotype" w:cs="Palatino Linotype" w:eastAsia="Palatino Linotype" w:hAnsi="Palatino Linotype"/>
          <w:i/>
          <w:iCs/>
          <w:sz w:val="20"/>
          <w:szCs w:val="20"/>
        </w:rPr>
        <w:t xml:space="preserve">Dust Research Division — Experimental Deployment Group</w:t>
      </w:r>
    </w:p>
    <w:p>
      <w:pPr>
        <w:spacing w:after="400"/>
        <w:jc w:val="center"/>
      </w:pPr>
      <w:r>
        <w:rPr>
          <w:rFonts w:ascii="Palatino Linotype" w:cs="Palatino Linotype" w:eastAsia="Palatino Linotype" w:hAnsi="Palatino Linotype"/>
          <w:color w:val="6A6A6A"/>
          <w:sz w:val="20"/>
          <w:szCs w:val="20"/>
        </w:rPr>
        <w:t xml:space="preserve">Preprint SR-2026-011  •  August 10, 2026</w:t>
      </w:r>
    </w:p>
    <w:p>
      <w:pPr>
        <w:pStyle w:val="Heading2"/>
        <w:spacing w:after="150" w:before="300"/>
      </w:pPr>
      <w:r>
        <w:rPr>
          <w:rFonts w:ascii="Arial" w:cs="Arial" w:eastAsia="Arial" w:hAnsi="Arial"/>
          <w:b/>
          <w:bCs/>
          <w:color w:val="0B1F3A"/>
          <w:sz w:val="24"/>
          <w:szCs w:val="24"/>
        </w:rPr>
        <w:t xml:space="preserve">Abstract</w:t>
      </w:r>
    </w:p>
    <w:p>
      <w:pPr>
        <w:spacing w:after="300" w:before="0" w:line="288"/>
        <w:jc w:val="both"/>
      </w:pPr>
      <w:r>
        <w:rPr>
          <w:rFonts w:ascii="Palatino Linotype" w:cs="Palatino Linotype" w:eastAsia="Palatino Linotype" w:hAnsi="Palatino Linotype"/>
          <w:color w:val="1A1A1A"/>
          <w:sz w:val="22"/>
          <w:szCs w:val="22"/>
        </w:rPr>
        <w:t xml:space="preserve">SR-5 and SR-10 both target the continuum sector of SRSM through massless or quasi-massless excitations — guided light and polariton density fluctuations respectively — in which string tension enters only indirectly, via a diffraction coefficient or a fitted interaction constant. This note proposes coupled optomechanical resonator arrays (“phonon lattices”) as a platform in which the string tension T_eff = 1/2πα’ = Δ²/2π of Section 9 of the SRSM mechanics paper can be measured as what it structurally is: an actual elastic restoring force per unit length in a massive mechanical medium. Optomechanical crystals and coupled nanomechanical resonator chains combine genuine mass density and engineered mechanical coupling with radiation-pressure-based actuation and shot-noise-limited displacement readout, allowing the phonon dispersion relation — and hence an effective sound speed and tension — to be extracted directly from measured mechanical spectra. We map the lattice's displacement field onto the emergent coordinate field Xᴵ, propose extracting T_eff from measured dispersion and comparing it against an independently engineered phononic bandgap edge as a candidate (explicitly flagged as structural, not derived) analogue of Δ, and note optomechanical Duffing-type nonlinearity as a further, independent route to the cubic hydrodynamic term also targeted by SR-5 and SR-10.</w:t>
      </w:r>
    </w:p>
    <w:p>
      <w:pPr>
        <w:pStyle w:val="Heading1"/>
        <w:pBdr>
          <w:bottom w:val="single" w:color="C9A84C" w:sz="8" w:space="4"/>
        </w:pBdr>
        <w:spacing w:after="200" w:before="400"/>
      </w:pPr>
      <w:r>
        <w:rPr>
          <w:rFonts w:ascii="Arial" w:cs="Arial" w:eastAsia="Arial" w:hAnsi="Arial"/>
          <w:b/>
          <w:bCs/>
          <w:color w:val="0B1F3A"/>
          <w:sz w:val="30"/>
          <w:szCs w:val="30"/>
        </w:rPr>
        <w:t xml:space="preserve">1. Introduction</w:t>
      </w:r>
    </w:p>
    <w:p>
      <w:pPr>
        <w:spacing w:after="200" w:before="0" w:line="288"/>
        <w:jc w:val="both"/>
      </w:pPr>
      <w:r>
        <w:rPr>
          <w:rFonts w:ascii="Palatino Linotype" w:cs="Palatino Linotype" w:eastAsia="Palatino Linotype" w:hAnsi="Palatino Linotype"/>
          <w:color w:val="1A1A1A"/>
          <w:sz w:val="22"/>
          <w:szCs w:val="22"/>
        </w:rPr>
        <w:t xml:space="preserve">Across the continuum-sector tracks of the SR series, string tension has so far only ever been inferred. SR-5's photonic mesh lattices relate tension to a diffraction coefficient; SR-10's polariton condensates relate it to a fitted nonlinear interaction constant. Neither platform contains an actual restoring force in the mechanical sense: photons do not resist being displaced by a spring constant, and polariton condensates are governed by interaction energy rather than elastic tension.</w:t>
      </w:r>
    </w:p>
    <w:p>
      <w:pPr>
        <w:spacing w:after="200" w:before="0" w:line="288"/>
        <w:jc w:val="both"/>
      </w:pPr>
      <w:r>
        <w:rPr>
          <w:rFonts w:ascii="Palatino Linotype" w:cs="Palatino Linotype" w:eastAsia="Palatino Linotype" w:hAnsi="Palatino Linotype"/>
          <w:color w:val="1A1A1A"/>
          <w:sz w:val="22"/>
          <w:szCs w:val="22"/>
        </w:rPr>
        <w:t xml:space="preserve">Optomechanical phonon lattices close this gap. Arrays of coupled nano- or micromechanical resonators — doubly clamped beams, membranes, or optomechanical-crystal defect cavities — are literal massive elastic media: they have a mass density, a mechanical coupling (spring-like restoring force) between neighboring sites, and a resulting phonon dispersion relation whose slope is, by definition, a sound speed set by tension over mass density. Radiation-pressure coupling to optical cavities collocated with each mechanical element provides both a highly sensitive (shot-noise-limited) readout of mechanical displacement and, via backaction, a controllable actuation and nonlinearity. SR-11 proposes using this combination to measure T_eff directly as a mechanical quantity for the first time in the SR series, rather than inferring it from a wave-equation coefficient or a fitted interaction term.</w:t>
      </w:r>
    </w:p>
    <w:p>
      <w:pPr>
        <w:pStyle w:val="Heading1"/>
        <w:pBdr>
          <w:bottom w:val="single" w:color="C9A84C" w:sz="8" w:space="4"/>
        </w:pBdr>
        <w:spacing w:after="200" w:before="400"/>
      </w:pPr>
      <w:r>
        <w:rPr>
          <w:rFonts w:ascii="Arial" w:cs="Arial" w:eastAsia="Arial" w:hAnsi="Arial"/>
          <w:b/>
          <w:bCs/>
          <w:color w:val="0B1F3A"/>
          <w:sz w:val="30"/>
          <w:szCs w:val="30"/>
        </w:rPr>
        <w:t xml:space="preserve">2. Recap: String Tension and the Resonance Gap</w:t>
      </w:r>
    </w:p>
    <w:p>
      <w:pPr>
        <w:spacing w:after="200" w:before="0" w:line="288"/>
        <w:jc w:val="both"/>
      </w:pPr>
      <w:r>
        <w:rPr>
          <w:rFonts w:ascii="Palatino Linotype" w:cs="Palatino Linotype" w:eastAsia="Palatino Linotype" w:hAnsi="Palatino Linotype"/>
          <w:color w:val="1A1A1A"/>
          <w:sz w:val="22"/>
          <w:szCs w:val="22"/>
        </w:rPr>
        <w:t xml:space="preserve">Section 9 of the mechanics paper derives the effective string tension from the equilibrium eigenvalue density of the Spectron gas,</w:t>
      </w:r>
    </w:p>
    <w:p>
      <w:pPr>
        <w:spacing w:after="200" w:before="100"/>
        <w:jc w:val="center"/>
      </w:pPr>
      <w:r>
        <w:rPr>
          <w:rFonts w:ascii="Cambria Math" w:cs="Cambria Math" w:eastAsia="Cambria Math" w:hAnsi="Cambria Math"/>
          <w:i/>
          <w:iCs/>
          <w:color w:val="1A1A1A"/>
          <w:sz w:val="22"/>
          <w:szCs w:val="22"/>
        </w:rPr>
        <w:t xml:space="preserve">T_eff = 1 / (2πα’) = Δ² / (2π),</w:t>
      </w:r>
    </w:p>
    <w:p>
      <w:pPr>
        <w:spacing w:after="200" w:before="0" w:line="288"/>
        <w:jc w:val="both"/>
      </w:pPr>
      <w:r>
        <w:rPr>
          <w:rFonts w:ascii="Palatino Linotype" w:cs="Palatino Linotype" w:eastAsia="Palatino Linotype" w:hAnsi="Palatino Linotype"/>
          <w:color w:val="1A1A1A"/>
          <w:sz w:val="22"/>
          <w:szCs w:val="22"/>
        </w:rPr>
        <w:t xml:space="preserve">directly tying tension to the resonance gap Δ that also sets the Regge slope α’ = Δ⁻² (Section 3 of the mechanics paper). This is a distinct coefficient from the cubic hydrodynamic term (π²/6)ρ³ targeted by SR-5 and SR-10: T_eff is the overall normalization of the quadratic (kinetic) term of the Polyakov action, Section 3.1 and Section 12.2 of the mechanics paper, while the cubic term is a higher-order correction to it. No SR note prior to this one has proposed measuring T_eff itself, as opposed to the equation it normalizes.</w:t>
      </w:r>
    </w:p>
    <w:p>
      <w:pPr>
        <w:pStyle w:val="Heading1"/>
        <w:pBdr>
          <w:bottom w:val="single" w:color="C9A84C" w:sz="8" w:space="4"/>
        </w:pBdr>
        <w:spacing w:after="200" w:before="400"/>
      </w:pPr>
      <w:r>
        <w:rPr>
          <w:rFonts w:ascii="Arial" w:cs="Arial" w:eastAsia="Arial" w:hAnsi="Arial"/>
          <w:b/>
          <w:bCs/>
          <w:color w:val="0B1F3A"/>
          <w:sz w:val="30"/>
          <w:szCs w:val="30"/>
        </w:rPr>
        <w:t xml:space="preserve">3. The Optomechanical Phonon-Lattice Platform</w:t>
      </w:r>
    </w:p>
    <w:p>
      <w:pPr>
        <w:pStyle w:val="Heading2"/>
        <w:spacing w:after="150" w:before="300"/>
      </w:pPr>
      <w:r>
        <w:rPr>
          <w:rFonts w:ascii="Arial" w:cs="Arial" w:eastAsia="Arial" w:hAnsi="Arial"/>
          <w:b/>
          <w:bCs/>
          <w:color w:val="0B1F3A"/>
          <w:sz w:val="24"/>
          <w:szCs w:val="24"/>
        </w:rPr>
        <w:t xml:space="preserve">3.1 Optomechanical crystals and coupled resonator arrays</w:t>
      </w:r>
    </w:p>
    <w:p>
      <w:pPr>
        <w:spacing w:after="200" w:before="0" w:line="288"/>
        <w:jc w:val="both"/>
      </w:pPr>
      <w:r>
        <w:rPr>
          <w:rFonts w:ascii="Palatino Linotype" w:cs="Palatino Linotype" w:eastAsia="Palatino Linotype" w:hAnsi="Palatino Linotype"/>
          <w:color w:val="1A1A1A"/>
          <w:sz w:val="22"/>
          <w:szCs w:val="22"/>
        </w:rPr>
        <w:t xml:space="preserve">Optomechanical crystals are periodically patterned nanobeams or membranes engineered to simultaneously localize an optical mode and a mechanical (phonon) mode at defect sites, with strong radiation-pressure coupling between the two. Arrays of such defects, or more generally chains of coupled nano/micromechanical resonators, form a phonon lattice with a mechanical dispersion relation ω(k) set by the individual resonator's restoring force and the inter-site mechanical coupling.</w:t>
      </w:r>
    </w:p>
    <w:p>
      <w:pPr>
        <w:pStyle w:val="Heading2"/>
        <w:spacing w:after="150" w:before="300"/>
      </w:pPr>
      <w:r>
        <w:rPr>
          <w:rFonts w:ascii="Arial" w:cs="Arial" w:eastAsia="Arial" w:hAnsi="Arial"/>
          <w:b/>
          <w:bCs/>
          <w:color w:val="0B1F3A"/>
          <w:sz w:val="24"/>
          <w:szCs w:val="24"/>
        </w:rPr>
        <w:t xml:space="preserve">3.2 Optomechanical readout and actuation</w:t>
      </w:r>
    </w:p>
    <w:p>
      <w:pPr>
        <w:spacing w:after="200" w:before="0" w:line="288"/>
        <w:jc w:val="both"/>
      </w:pPr>
      <w:r>
        <w:rPr>
          <w:rFonts w:ascii="Palatino Linotype" w:cs="Palatino Linotype" w:eastAsia="Palatino Linotype" w:hAnsi="Palatino Linotype"/>
          <w:color w:val="1A1A1A"/>
          <w:sz w:val="22"/>
          <w:szCs w:val="22"/>
        </w:rPr>
        <w:t xml:space="preserve">Each mechanical site's displacement can be transduced onto the phase or amplitude of light in its collocated optical cavity, enabling displacement measurement at or near the standard quantum limit, and, via the same radiation-pressure interaction operated in reverse, all-optical actuation and parametric control of the mechanical coupling and effective spring constants — providing tunability that a purely mechanical lattice would lack.</w:t>
      </w:r>
    </w:p>
    <w:p>
      <w:pPr>
        <w:pStyle w:val="Heading2"/>
        <w:spacing w:after="150" w:before="300"/>
      </w:pPr>
      <w:r>
        <w:rPr>
          <w:rFonts w:ascii="Arial" w:cs="Arial" w:eastAsia="Arial" w:hAnsi="Arial"/>
          <w:b/>
          <w:bCs/>
          <w:color w:val="0B1F3A"/>
          <w:sz w:val="24"/>
          <w:szCs w:val="24"/>
        </w:rPr>
        <w:t xml:space="preserve">3.3 Extracting an effective tension</w:t>
      </w:r>
    </w:p>
    <w:p>
      <w:pPr>
        <w:spacing w:after="200" w:before="0" w:line="288"/>
        <w:jc w:val="both"/>
      </w:pPr>
      <w:r>
        <w:rPr>
          <w:rFonts w:ascii="Palatino Linotype" w:cs="Palatino Linotype" w:eastAsia="Palatino Linotype" w:hAnsi="Palatino Linotype"/>
          <w:color w:val="1A1A1A"/>
          <w:sz w:val="22"/>
          <w:szCs w:val="22"/>
        </w:rPr>
        <w:t xml:space="preserve">For a mechanical lattice with displacement field u(x,t), mass density per unit length μ, and elastic coupling giving restoring force per unit length κ_eff, the long-wavelength dispersion is linear, ω = v_s k, with sound speed</w:t>
      </w:r>
    </w:p>
    <w:p>
      <w:pPr>
        <w:spacing w:after="200" w:before="100"/>
        <w:jc w:val="center"/>
      </w:pPr>
      <w:r>
        <w:rPr>
          <w:rFonts w:ascii="Cambria Math" w:cs="Cambria Math" w:eastAsia="Cambria Math" w:hAnsi="Cambria Math"/>
          <w:i/>
          <w:iCs/>
          <w:color w:val="1A1A1A"/>
          <w:sz w:val="22"/>
          <w:szCs w:val="22"/>
        </w:rPr>
        <w:t xml:space="preserve">v_s² = κ_eff / μ,</w:t>
      </w:r>
    </w:p>
    <w:p>
      <w:pPr>
        <w:spacing w:after="200" w:before="0" w:line="288"/>
        <w:jc w:val="both"/>
      </w:pPr>
      <w:r>
        <w:rPr>
          <w:rFonts w:ascii="Palatino Linotype" w:cs="Palatino Linotype" w:eastAsia="Palatino Linotype" w:hAnsi="Palatino Linotype"/>
          <w:color w:val="1A1A1A"/>
          <w:sz w:val="22"/>
          <w:szCs w:val="22"/>
        </w:rPr>
        <w:t xml:space="preserve">so that measuring ω(k) at low k and independently determining μ from the fabricated geometry yields κ_eff — the platform's literal, mechanical analogue of T_eff, obtained without any fitting to a nonlinear coefficient or diffraction formula.</w:t>
      </w:r>
    </w:p>
    <w:p>
      <w:pPr>
        <w:pStyle w:val="Heading1"/>
        <w:pBdr>
          <w:bottom w:val="single" w:color="C9A84C" w:sz="8" w:space="4"/>
        </w:pBdr>
        <w:spacing w:after="200" w:before="400"/>
      </w:pPr>
      <w:r>
        <w:rPr>
          <w:rFonts w:ascii="Arial" w:cs="Arial" w:eastAsia="Arial" w:hAnsi="Arial"/>
          <w:b/>
          <w:bCs/>
          <w:color w:val="0B1F3A"/>
          <w:sz w:val="30"/>
          <w:szCs w:val="30"/>
        </w:rPr>
        <w:t xml:space="preserve">4. Mapping Dictionary: SRSM ↔ Optomechanical Phonon Lattice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50"/>
      </w:tblGrid>
      <w:tr>
        <w:trPr>
          <w:tblHeader/>
        </w:trPr>
        <w:tc>
          <w:tcPr>
            <w:tcW w:type="dxa" w:w="3100"/>
            <w:shd w:fill="0B1F3A" w:val="clear"/>
            <w:tcMar>
              <w:top w:type="dxa" w:w="80"/>
              <w:left w:type="dxa" w:w="100"/>
              <w:bottom w:type="dxa" w:w="80"/>
              <w:right w:type="dxa" w:w="100"/>
            </w:tcMar>
            <w:vAlign w:val="center"/>
          </w:tcPr>
          <w:p>
            <w:r>
              <w:rPr>
                <w:rFonts w:ascii="Arial" w:cs="Arial" w:eastAsia="Arial" w:hAnsi="Arial"/>
                <w:b/>
                <w:bCs/>
                <w:color w:val="FFFFFF"/>
                <w:sz w:val="20"/>
                <w:szCs w:val="20"/>
              </w:rPr>
              <w:t xml:space="preserve">SRSM object</w:t>
            </w:r>
          </w:p>
        </w:tc>
        <w:tc>
          <w:tcPr>
            <w:tcW w:type="dxa" w:w="3100"/>
            <w:shd w:fill="0B1F3A" w:val="clear"/>
            <w:tcMar>
              <w:top w:type="dxa" w:w="80"/>
              <w:left w:type="dxa" w:w="100"/>
              <w:bottom w:type="dxa" w:w="80"/>
              <w:right w:type="dxa" w:w="100"/>
            </w:tcMar>
            <w:vAlign w:val="center"/>
          </w:tcPr>
          <w:p>
            <w:r>
              <w:rPr>
                <w:rFonts w:ascii="Arial" w:cs="Arial" w:eastAsia="Arial" w:hAnsi="Arial"/>
                <w:b/>
                <w:bCs/>
                <w:color w:val="FFFFFF"/>
                <w:sz w:val="20"/>
                <w:szCs w:val="20"/>
              </w:rPr>
              <w:t xml:space="preserve">Optomechanical realization</w:t>
            </w:r>
          </w:p>
        </w:tc>
        <w:tc>
          <w:tcPr>
            <w:tcW w:type="dxa" w:w="3150"/>
            <w:shd w:fill="0B1F3A" w:val="clear"/>
            <w:tcMar>
              <w:top w:type="dxa" w:w="80"/>
              <w:left w:type="dxa" w:w="100"/>
              <w:bottom w:type="dxa" w:w="80"/>
              <w:right w:type="dxa" w:w="100"/>
            </w:tcMar>
            <w:vAlign w:val="center"/>
          </w:tcPr>
          <w:p>
            <w:r>
              <w:rPr>
                <w:rFonts w:ascii="Arial" w:cs="Arial" w:eastAsia="Arial" w:hAnsi="Arial"/>
                <w:b/>
                <w:bCs/>
                <w:color w:val="FFFFFF"/>
                <w:sz w:val="20"/>
                <w:szCs w:val="20"/>
              </w:rPr>
              <w:t xml:space="preserve">Notes</w:t>
            </w:r>
          </w:p>
        </w:tc>
      </w:tr>
      <w:tr>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Worldsheet time τ</w:t>
            </w:r>
          </w:p>
        </w:tc>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Genuine mechanical evolution time t</w:t>
            </w:r>
          </w:p>
        </w:tc>
        <w:tc>
          <w:tcPr>
            <w:tcW w:type="dxa" w:w="315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As in SR-10, a real time variable</w:t>
            </w:r>
          </w:p>
        </w:tc>
      </w:tr>
      <w:tr>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Worldsheet coordinate σ</w:t>
            </w:r>
          </w:p>
        </w:tc>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Position along the resonator array</w:t>
            </w:r>
          </w:p>
        </w:tc>
        <w:tc>
          <w:tcPr>
            <w:tcW w:type="dxa" w:w="315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Lattice site index in the continuum limit</w:t>
            </w:r>
          </w:p>
        </w:tc>
      </w:tr>
      <w:tr>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Emergent coordinate field Xᴵ</w:t>
            </w:r>
          </w:p>
        </w:tc>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Mechanical displacement field u(x,t)</w:t>
            </w:r>
          </w:p>
        </w:tc>
        <w:tc>
          <w:tcPr>
            <w:tcW w:type="dxa" w:w="315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Directly transduced via optomechanical readout</w:t>
            </w:r>
          </w:p>
        </w:tc>
      </w:tr>
      <w:tr>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String tension T_eff = Δ²/2π</w:t>
            </w:r>
          </w:p>
        </w:tc>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Effective spring constant per unit length κ_eff</w:t>
            </w:r>
          </w:p>
        </w:tc>
        <w:tc>
          <w:tcPr>
            <w:tcW w:type="dxa" w:w="315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Extracted directly from measured dispersion, Section 3.3</w:t>
            </w:r>
          </w:p>
        </w:tc>
      </w:tr>
      <w:tr>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Resonance gap Δ</w:t>
            </w:r>
          </w:p>
        </w:tc>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Engineered phononic bandgap edge frequency</w:t>
            </w:r>
          </w:p>
        </w:tc>
        <w:tc>
          <w:tcPr>
            <w:tcW w:type="dxa" w:w="315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Structural candidate only — see Section 7</w:t>
            </w:r>
          </w:p>
        </w:tc>
      </w:tr>
      <w:tr>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Cubic hydrodynamic term (π²/6)ρ³</w:t>
            </w:r>
          </w:p>
        </w:tc>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Radiation-pressure-induced (Duffing-type) nonlinearity</w:t>
            </w:r>
          </w:p>
        </w:tc>
        <w:tc>
          <w:tcPr>
            <w:tcW w:type="dxa" w:w="315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Independent route alongside SR-10</w:t>
            </w:r>
          </w:p>
        </w:tc>
      </w:tr>
    </w:tbl>
    <w:p>
      <w:pPr>
        <w:spacing w:after="200" w:before="0" w:line="288"/>
        <w:jc w:val="both"/>
      </w:pPr>
      <w:r>
        <w:rPr>
          <w:rFonts w:ascii="Palatino Linotype" w:cs="Palatino Linotype" w:eastAsia="Palatino Linotype" w:hAnsi="Palatino Linotype"/>
          <w:color w:val="1A1A1A"/>
          <w:sz w:val="22"/>
          <w:szCs w:val="22"/>
        </w:rPr>
        <w:t xml:space="preserve"/>
      </w:r>
    </w:p>
    <w:p>
      <w:pPr>
        <w:pStyle w:val="Heading1"/>
        <w:pBdr>
          <w:bottom w:val="single" w:color="C9A84C" w:sz="8" w:space="4"/>
        </w:pBdr>
        <w:spacing w:after="200" w:before="400"/>
      </w:pPr>
      <w:r>
        <w:rPr>
          <w:rFonts w:ascii="Arial" w:cs="Arial" w:eastAsia="Arial" w:hAnsi="Arial"/>
          <w:b/>
          <w:bCs/>
          <w:color w:val="0B1F3A"/>
          <w:sz w:val="30"/>
          <w:szCs w:val="30"/>
        </w:rPr>
        <w:t xml:space="preserve">5. Predicted Observables and Signatures</w:t>
      </w:r>
    </w:p>
    <w:p>
      <w:pPr>
        <w:pStyle w:val="Heading2"/>
        <w:spacing w:after="150" w:before="300"/>
      </w:pPr>
      <w:r>
        <w:rPr>
          <w:rFonts w:ascii="Arial" w:cs="Arial" w:eastAsia="Arial" w:hAnsi="Arial"/>
          <w:b/>
          <w:bCs/>
          <w:color w:val="0B1F3A"/>
          <w:sz w:val="24"/>
          <w:szCs w:val="24"/>
        </w:rPr>
        <w:t xml:space="preserve">5.1 Direct tension extraction</w:t>
      </w:r>
    </w:p>
    <w:p>
      <w:pPr>
        <w:spacing w:after="200" w:before="0" w:line="288"/>
        <w:jc w:val="both"/>
      </w:pPr>
      <w:r>
        <w:rPr>
          <w:rFonts w:ascii="Palatino Linotype" w:cs="Palatino Linotype" w:eastAsia="Palatino Linotype" w:hAnsi="Palatino Linotype"/>
          <w:color w:val="1A1A1A"/>
          <w:sz w:val="22"/>
          <w:szCs w:val="22"/>
        </w:rPr>
        <w:t xml:space="preserve">SR-11 proposes measuring the phonon dispersion ω(k) of a fabricated lattice via optomechanically transduced spectroscopy, fitting the low-k linear regime to extract v_s, and combining this with the independently known mass density to obtain κ_eff — the first SR-series measurement of an effective string tension as a genuine mechanical quantity rather than an inferred or fitted coefficient.</w:t>
      </w:r>
    </w:p>
    <w:p>
      <w:pPr>
        <w:pStyle w:val="Heading2"/>
        <w:spacing w:after="150" w:before="300"/>
      </w:pPr>
      <w:r>
        <w:rPr>
          <w:rFonts w:ascii="Arial" w:cs="Arial" w:eastAsia="Arial" w:hAnsi="Arial"/>
          <w:b/>
          <w:bCs/>
          <w:color w:val="0B1F3A"/>
          <w:sz w:val="24"/>
          <w:szCs w:val="24"/>
        </w:rPr>
        <w:t xml:space="preserve">5.2 Testing the tension–gap relation (exploratory)</w:t>
      </w:r>
    </w:p>
    <w:p>
      <w:pPr>
        <w:spacing w:after="200" w:before="0" w:line="288"/>
        <w:jc w:val="both"/>
      </w:pPr>
      <w:r>
        <w:rPr>
          <w:rFonts w:ascii="Palatino Linotype" w:cs="Palatino Linotype" w:eastAsia="Palatino Linotype" w:hAnsi="Palatino Linotype"/>
          <w:color w:val="1A1A1A"/>
          <w:sz w:val="22"/>
          <w:szCs w:val="22"/>
        </w:rPr>
        <w:t xml:space="preserve">If a phononic bandgap is separately engineered into the same lattice (via periodic patterning, standard in optomechanical-crystal design), SR-11 proposes comparing the measured bandgap edge frequency against the extracted κ_eff to test, at a qualitative level, whether the two scale together in a manner consistent with T_eff ∝ Δ². This is explicitly noted as a structural hypothesis motivated by the form of Section 2's recap equation, not a derived prediction, since the phononic bandgap of a patterned mechanical lattice and the SRSM resonance gap Δ arise from different underlying mechanisms.</w:t>
      </w:r>
    </w:p>
    <w:p>
      <w:pPr>
        <w:pStyle w:val="Heading2"/>
        <w:spacing w:after="150" w:before="300"/>
      </w:pPr>
      <w:r>
        <w:rPr>
          <w:rFonts w:ascii="Arial" w:cs="Arial" w:eastAsia="Arial" w:hAnsi="Arial"/>
          <w:b/>
          <w:bCs/>
          <w:color w:val="0B1F3A"/>
          <w:sz w:val="24"/>
          <w:szCs w:val="24"/>
        </w:rPr>
        <w:t xml:space="preserve">5.3 Nonlinearity as a second route to the cubic term</w:t>
      </w:r>
    </w:p>
    <w:p>
      <w:pPr>
        <w:spacing w:after="200" w:before="0" w:line="288"/>
        <w:jc w:val="both"/>
      </w:pPr>
      <w:r>
        <w:rPr>
          <w:rFonts w:ascii="Palatino Linotype" w:cs="Palatino Linotype" w:eastAsia="Palatino Linotype" w:hAnsi="Palatino Linotype"/>
          <w:color w:val="1A1A1A"/>
          <w:sz w:val="22"/>
          <w:szCs w:val="22"/>
        </w:rPr>
        <w:t xml:space="preserve">Radiation-pressure backaction generically introduces Duffing-type (cubic-in-displacement) nonlinearity into the mechanical equation of motion at sufficient drive power. SR-11 proposes characterizing this nonlinearity as a second, independent candidate realization of the (π²/6)ρ³ term alongside SR-10's intrinsic polariton interaction, allowing cross-platform comparison of the two coefficient-matching approaches.</w:t>
      </w:r>
    </w:p>
    <w:p>
      <w:pPr>
        <w:pStyle w:val="Heading1"/>
        <w:pBdr>
          <w:bottom w:val="single" w:color="C9A84C" w:sz="8" w:space="4"/>
        </w:pBdr>
        <w:spacing w:after="200" w:before="400"/>
      </w:pPr>
      <w:r>
        <w:rPr>
          <w:rFonts w:ascii="Arial" w:cs="Arial" w:eastAsia="Arial" w:hAnsi="Arial"/>
          <w:b/>
          <w:bCs/>
          <w:color w:val="0B1F3A"/>
          <w:sz w:val="30"/>
          <w:szCs w:val="30"/>
        </w:rPr>
        <w:t xml:space="preserve">6. Staged Experimental Protocol</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SR-11a — Dispersion baseline: fabricate a coupled optomechanical resonator array and measure its low-k phonon dispersion via cavity-transduced spectroscopy, confirming linear dispersion and extracting v_s.</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SR-11b — Tension extraction: combine SR-11a's v_s with independently determined mass density to extract κ_eff, completing the direct tension measurement proposed in Section 5.1.</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SR-11c — Bandgap-tension comparison (exploratory): engineer a phononic bandgap into a second lattice geometry and compare its edge frequency against κ_eff extracted via SR-11b, as an exploratory test of the structural hypothesis in Section 5.2.</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SR-11d — Nonlinearity characterization: drive the lattice into the Duffing regime via radiation-pressure backaction and characterize the resulting cubic nonlinearity, for comparison against SR-10's intrinsic-interaction results.</w:t>
      </w:r>
    </w:p>
    <w:p>
      <w:pPr>
        <w:pStyle w:val="Heading1"/>
        <w:pBdr>
          <w:bottom w:val="single" w:color="C9A84C" w:sz="8" w:space="4"/>
        </w:pBdr>
        <w:spacing w:after="200" w:before="400"/>
      </w:pPr>
      <w:r>
        <w:rPr>
          <w:rFonts w:ascii="Arial" w:cs="Arial" w:eastAsia="Arial" w:hAnsi="Arial"/>
          <w:b/>
          <w:bCs/>
          <w:color w:val="0B1F3A"/>
          <w:sz w:val="30"/>
          <w:szCs w:val="30"/>
        </w:rPr>
        <w:t xml:space="preserve">7. Scope and Explicit Limitations</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Tension–gap correspondence is speculative: the comparison proposed in Section 5.2/SR-11c rests on the shared appearance of Δ in both T_eff = Δ²/2π and a phononic bandgap edge, which arise from unrelated physical mechanisms (Spectron resonance locking versus Bragg-type periodic patterning); a null or inconsistent SR-11c result should not be read as counting against SRSM, only against this specific structural hypothesis.</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No genuine multi-dimensional target-space embedding: unlike SR-1/SR-6, additional SRSM target-space directions I could only be approximated here via distinct mechanical polarization branches (flexural, torsional, extensional) of the same lattice, which are physically distinct from independent spatial embedding directions; this note does not develop that extension.</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Continuum-only, as with SR-5 and SR-10: no Spectron discreteness, Vandermonde repulsion, resonance-lattice locking, or gauge constraint is accessible on this platform.</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Mechanical dissipation (finite phonon lifetime, clamping loss) sets a practical floor on how cleanly the linear dispersion regime of Section 5.1 can be resolved, and should be characterized and reported alongside any extracted κ_eff value.</w:t>
      </w:r>
    </w:p>
    <w:p>
      <w:pPr>
        <w:pStyle w:val="Heading1"/>
        <w:pBdr>
          <w:bottom w:val="single" w:color="C9A84C" w:sz="8" w:space="4"/>
        </w:pBdr>
        <w:spacing w:after="200" w:before="400"/>
      </w:pPr>
      <w:r>
        <w:rPr>
          <w:rFonts w:ascii="Arial" w:cs="Arial" w:eastAsia="Arial" w:hAnsi="Arial"/>
          <w:b/>
          <w:bCs/>
          <w:color w:val="0B1F3A"/>
          <w:sz w:val="30"/>
          <w:szCs w:val="30"/>
        </w:rPr>
        <w:t xml:space="preserve">8. Relation to SR-1 Through SR-10</w:t>
      </w:r>
    </w:p>
    <w:p>
      <w:pPr>
        <w:spacing w:after="200" w:before="0" w:line="288"/>
        <w:jc w:val="both"/>
      </w:pPr>
      <w:r>
        <w:rPr>
          <w:rFonts w:ascii="Palatino Linotype" w:cs="Palatino Linotype" w:eastAsia="Palatino Linotype" w:hAnsi="Palatino Linotype"/>
          <w:color w:val="1A1A1A"/>
          <w:sz w:val="22"/>
          <w:szCs w:val="22"/>
        </w:rPr>
        <w:t xml:space="preserve">SR-11 completes a three-note continuum-sector sequence together with SR-5 and SR-10: SR-5 established the qualitative wave-equation correspondence in a passive photonic system, SR-10 supplied a genuinely interacting quantum fluid with an independently measurable nonlinearity, and SR-11 supplies a genuinely massive mechanical medium in which tension itself, rather than only the wave equation or its nonlinear correction, can be measured directly. It shares no overlap with the discrete Spectron sector (SR-1, SR-2, SR-3, SR-6), the matrix/Dirac sector (SR-4, SR-8), or the dynamical chaos/holography sector (SR-7, SR-9).</w:t>
      </w:r>
    </w:p>
    <w:p>
      <w:pPr>
        <w:pStyle w:val="Heading1"/>
        <w:pBdr>
          <w:bottom w:val="single" w:color="C9A84C" w:sz="8" w:space="4"/>
        </w:pBdr>
        <w:spacing w:after="200" w:before="400"/>
      </w:pPr>
      <w:r>
        <w:rPr>
          <w:rFonts w:ascii="Arial" w:cs="Arial" w:eastAsia="Arial" w:hAnsi="Arial"/>
          <w:b/>
          <w:bCs/>
          <w:color w:val="0B1F3A"/>
          <w:sz w:val="30"/>
          <w:szCs w:val="30"/>
        </w:rPr>
        <w:t xml:space="preserve">9. Conclusion</w:t>
      </w:r>
    </w:p>
    <w:p>
      <w:pPr>
        <w:spacing w:after="300" w:before="0" w:line="288"/>
        <w:jc w:val="both"/>
      </w:pPr>
      <w:r>
        <w:rPr>
          <w:rFonts w:ascii="Palatino Linotype" w:cs="Palatino Linotype" w:eastAsia="Palatino Linotype" w:hAnsi="Palatino Linotype"/>
          <w:color w:val="1A1A1A"/>
          <w:sz w:val="22"/>
          <w:szCs w:val="22"/>
        </w:rPr>
        <w:t xml:space="preserve">Optomechanical phonon lattices are the first SR-series platform in which SRSM's string tension can be measured as a literal mechanical restoring force rather than inferred from a diffraction coefficient or a fitted interaction constant. Alongside SR-5 and SR-10, this completes a graduated continuum-sector sequence from passive linear optics through genuine quantum-fluid nonlinearity to genuine mechanical elasticity. The proposed tension–bandgap comparison (Section 5.2) is the most speculative element of this note and is explicitly scoped as a structural hypothesis pending theoretical development, not a derived SRSM prediction.</w:t>
      </w:r>
    </w:p>
    <w:p>
      <w:pPr>
        <w:pStyle w:val="Heading1"/>
        <w:pBdr>
          <w:bottom w:val="single" w:color="C9A84C" w:sz="8" w:space="4"/>
        </w:pBdr>
        <w:spacing w:after="200" w:before="400"/>
      </w:pPr>
      <w:r>
        <w:rPr>
          <w:rFonts w:ascii="Arial" w:cs="Arial" w:eastAsia="Arial" w:hAnsi="Arial"/>
          <w:b/>
          <w:bCs/>
          <w:color w:val="0B1F3A"/>
          <w:sz w:val="30"/>
          <w:szCs w:val="30"/>
        </w:rPr>
        <w:t xml:space="preserve">References</w:t>
      </w:r>
    </w:p>
    <w:p>
      <w:pPr>
        <w:spacing w:after="100" w:before="0" w:line="288"/>
        <w:jc w:val="left"/>
      </w:pPr>
      <w:r>
        <w:rPr>
          <w:rFonts w:ascii="Palatino Linotype" w:cs="Palatino Linotype" w:eastAsia="Palatino Linotype" w:hAnsi="Palatino Linotype"/>
          <w:color w:val="1A1A1A"/>
          <w:sz w:val="22"/>
          <w:szCs w:val="22"/>
        </w:rPr>
        <w:t xml:space="preserve">[1] Spectral Resonance String Mechanics: A Hamiltonian and Worldsheet Formulation of Pre-Geometric Resonance Strings. Preprint SRST-2026-002.</w:t>
      </w:r>
    </w:p>
    <w:p>
      <w:pPr>
        <w:spacing w:after="100" w:before="0" w:line="288"/>
        <w:jc w:val="left"/>
      </w:pPr>
      <w:r>
        <w:rPr>
          <w:rFonts w:ascii="Palatino Linotype" w:cs="Palatino Linotype" w:eastAsia="Palatino Linotype" w:hAnsi="Palatino Linotype"/>
          <w:color w:val="1A1A1A"/>
          <w:sz w:val="22"/>
          <w:szCs w:val="22"/>
        </w:rPr>
        <w:t xml:space="preserve">[2] M. Aspelmeyer, T. J. Kippenberg, and F. Marquardt, “Cavity Optomechanics,” Rev. Mod. Phys. 86, 1391 (2014).</w:t>
      </w:r>
    </w:p>
    <w:p>
      <w:pPr>
        <w:spacing w:after="100" w:before="0" w:line="288"/>
        <w:jc w:val="left"/>
      </w:pPr>
      <w:r>
        <w:rPr>
          <w:rFonts w:ascii="Palatino Linotype" w:cs="Palatino Linotype" w:eastAsia="Palatino Linotype" w:hAnsi="Palatino Linotype"/>
          <w:color w:val="1A1A1A"/>
          <w:sz w:val="22"/>
          <w:szCs w:val="22"/>
        </w:rPr>
        <w:t xml:space="preserve">[3] M. Eichenfield, J. Chan, R. M. Camacho, K. J. Vahala, and O. Painter, “Optomechanical Crystals,” Nature 462, 78 (2009).</w:t>
      </w:r>
    </w:p>
    <w:p>
      <w:pPr>
        <w:spacing w:after="100" w:before="0" w:line="288"/>
        <w:jc w:val="left"/>
      </w:pPr>
      <w:r>
        <w:rPr>
          <w:rFonts w:ascii="Palatino Linotype" w:cs="Palatino Linotype" w:eastAsia="Palatino Linotype" w:hAnsi="Palatino Linotype"/>
          <w:color w:val="1A1A1A"/>
          <w:sz w:val="22"/>
          <w:szCs w:val="22"/>
        </w:rPr>
        <w:t xml:space="preserve">[4] A. H. Safavi-Naeini and O. Painter, “Proposal for an Optomechanical Traveling Wave Phonon–Photon Translator,” New J. Phys. 13, 013017 (2011).</w:t>
      </w:r>
    </w:p>
    <w:p>
      <w:pPr>
        <w:spacing w:after="100" w:before="0" w:line="288"/>
        <w:jc w:val="left"/>
      </w:pPr>
      <w:r>
        <w:rPr>
          <w:rFonts w:ascii="Palatino Linotype" w:cs="Palatino Linotype" w:eastAsia="Palatino Linotype" w:hAnsi="Palatino Linotype"/>
          <w:color w:val="1A1A1A"/>
          <w:sz w:val="22"/>
          <w:szCs w:val="22"/>
        </w:rPr>
        <w:t xml:space="preserve">[5] S. J. M. Habraken, K. Stannigel, M. D. Lukin, P. Zoller, and P. Rabl, “Continuous Mode Cooling and Phonon Routers for Phononic Quantum Networks,” New J. Phys. 14, 115004 (2012).</w:t>
      </w:r>
    </w:p>
    <w:p>
      <w:pPr>
        <w:spacing w:after="100" w:before="0" w:line="288"/>
        <w:jc w:val="left"/>
      </w:pPr>
      <w:r>
        <w:rPr>
          <w:rFonts w:ascii="Palatino Linotype" w:cs="Palatino Linotype" w:eastAsia="Palatino Linotype" w:hAnsi="Palatino Linotype"/>
          <w:color w:val="1A1A1A"/>
          <w:sz w:val="22"/>
          <w:szCs w:val="22"/>
        </w:rPr>
        <w:t xml:space="preserve">[6] SR-1 through SR-10 Deployment Notes, Preprints SR-2026-001 through SR-2026-010, Dust Research Division.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6" w:space="4"/>
      </w:pBdr>
      <w:tabs>
        <w:tab w:val="right" w:pos="10800"/>
      </w:tabs>
    </w:pPr>
    <w:r>
      <w:rPr>
        <w:rFonts w:ascii="Arial" w:cs="Arial" w:eastAsia="Arial" w:hAnsi="Arial"/>
        <w:color w:val="6A6A6A"/>
        <w:sz w:val="16"/>
        <w:szCs w:val="16"/>
      </w:rPr>
      <w:t xml:space="preserve">Spectral Resonance String Mechanics — Deployment Series</w:t>
    </w:r>
    <w:r>
      <w:rPr>
        <w:rFonts w:ascii="Arial" w:cs="Arial" w:eastAsia="Arial" w:hAnsi="Arial"/>
        <w:color w:val="6A6A6A"/>
        <w:sz w:val="16"/>
        <w:szCs w:val="16"/>
      </w:rPr>
      <w:t xml:space="preserve">	Page </w:t>
    </w:r>
    <w:r>
      <w:rPr>
        <w:rFonts w:ascii="Arial" w:cs="Arial" w:eastAsia="Arial" w:hAnsi="Arial"/>
        <w:color w:val="6A6A6A"/>
        <w:sz w:val="16"/>
        <w:szCs w:val="16"/>
      </w:rPr>
      <w:fldChar w:fldCharType="begin"/>
      <w:instrText xml:space="preserve">PAGE</w:instrText>
      <w:fldChar w:fldCharType="separate"/>
      <w:fldChar w:fldCharType="end"/>
    </w:r>
    <w:r>
      <w:rPr>
        <w:rFonts w:ascii="Arial" w:cs="Arial" w:eastAsia="Arial" w:hAnsi="Arial"/>
        <w:color w:val="6A6A6A"/>
        <w:sz w:val="16"/>
        <w:szCs w:val="16"/>
      </w:rPr>
      <w:t xml:space="preserve"> of </w:t>
    </w:r>
    <w:r>
      <w:rPr>
        <w:rFonts w:ascii="Arial" w:cs="Arial" w:eastAsia="Arial" w:hAnsi="Arial"/>
        <w:color w:val="6A6A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4"/>
      </w:pBdr>
      <w:tabs>
        <w:tab w:val="right" w:pos="10800"/>
      </w:tabs>
    </w:pPr>
    <w:r>
      <w:rPr>
        <w:rFonts w:ascii="Arial" w:cs="Arial" w:eastAsia="Arial" w:hAnsi="Arial"/>
        <w:b/>
        <w:bCs/>
        <w:color w:val="0B1F3A"/>
        <w:sz w:val="16"/>
        <w:szCs w:val="16"/>
      </w:rPr>
      <w:t xml:space="preserve">DUST LLC — THEORETICAL FOUNDATIONS GROUP</w:t>
    </w:r>
    <w:r>
      <w:rPr>
        <w:rFonts w:ascii="Arial" w:cs="Arial" w:eastAsia="Arial" w:hAnsi="Arial"/>
        <w:color w:val="C9A84C"/>
        <w:sz w:val="16"/>
        <w:szCs w:val="16"/>
      </w:rPr>
      <w:t xml:space="preserve">	SR-11 — Deployment Note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2026-08-15T08:52:40.933Z</dcterms:created>
  <dcterms:modified xsi:type="dcterms:W3CDTF">2026-08-15T08:52:40.933Z</dcterms:modified>
</cp:coreProperties>
</file>

<file path=docProps/custom.xml><?xml version="1.0" encoding="utf-8"?>
<Properties xmlns="http://schemas.openxmlformats.org/officeDocument/2006/custom-properties" xmlns:vt="http://schemas.openxmlformats.org/officeDocument/2006/docPropsVTypes"/>
</file>