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C9A84C"/>
          <w:sz w:val="20"/>
          <w:szCs w:val="20"/>
        </w:rPr>
        <w:t xml:space="preserve">SR-1</w:t>
      </w:r>
    </w:p>
    <w:p>
      <w:pPr>
        <w:spacing w:after="80"/>
        <w:jc w:val="center"/>
      </w:pPr>
      <w:r>
        <w:rPr>
          <w:rFonts w:ascii="Arial" w:cs="Arial" w:eastAsia="Arial" w:hAnsi="Arial"/>
          <w:b/>
          <w:bCs/>
          <w:color w:val="0B1F3A"/>
          <w:sz w:val="36"/>
          <w:szCs w:val="36"/>
        </w:rPr>
        <w:t xml:space="preserve">Trapped-Ion Calogero–Moser Simulators as a Physical Realization Platform for the Spectron</w:t>
      </w:r>
    </w:p>
    <w:p>
      <w:pPr>
        <w:spacing w:after="300"/>
        <w:jc w:val="center"/>
      </w:pPr>
      <w:r>
        <w:rPr>
          <w:rFonts w:ascii="Arial" w:cs="Arial" w:eastAsia="Arial" w:hAnsi="Arial"/>
          <w:i/>
          <w:iCs/>
          <w:color w:val="3A3A3A"/>
          <w:sz w:val="24"/>
          <w:szCs w:val="24"/>
        </w:rPr>
        <w:t xml:space="preserve">A Deployment Note for Spectral Resonance String Mechanics (SRSM)</w:t>
      </w:r>
    </w:p>
    <w:p>
      <w:pPr>
        <w:spacing w:after="40"/>
        <w:jc w:val="center"/>
      </w:pPr>
      <w:r>
        <w:rPr>
          <w:rFonts w:ascii="Palatino Linotype" w:cs="Palatino Linotype" w:eastAsia="Palatino Linotype" w:hAnsi="Palatino Linotype"/>
          <w:b/>
          <w:bCs/>
          <w:sz w:val="24"/>
          <w:szCs w:val="24"/>
        </w:rPr>
        <w:t xml:space="preserve">M. Brownlee</w:t>
      </w:r>
    </w:p>
    <w:p>
      <w:pPr>
        <w:spacing w:after="40"/>
        <w:jc w:val="center"/>
      </w:pPr>
      <w:r>
        <w:rPr>
          <w:rFonts w:ascii="Palatino Linotype" w:cs="Palatino Linotype" w:eastAsia="Palatino Linotype" w:hAnsi="Palatino Linotype"/>
          <w:i/>
          <w:iCs/>
          <w:sz w:val="20"/>
          <w:szCs w:val="20"/>
        </w:rPr>
        <w:t xml:space="preserve">Dust Research Division — Experimental Deployment Group</w:t>
      </w:r>
    </w:p>
    <w:p>
      <w:pPr>
        <w:spacing w:after="400"/>
        <w:jc w:val="center"/>
      </w:pPr>
      <w:r>
        <w:rPr>
          <w:rFonts w:ascii="Palatino Linotype" w:cs="Palatino Linotype" w:eastAsia="Palatino Linotype" w:hAnsi="Palatino Linotype"/>
          <w:color w:val="6A6A6A"/>
          <w:sz w:val="20"/>
          <w:szCs w:val="20"/>
        </w:rPr>
        <w:t xml:space="preserve">Preprint SR-2026-001  •  August 10, 2026</w:t>
      </w:r>
    </w:p>
    <w:p>
      <w:pPr>
        <w:pStyle w:val="Heading2"/>
        <w:spacing w:after="150" w:before="300"/>
      </w:pPr>
      <w:r>
        <w:rPr>
          <w:rFonts w:ascii="Arial" w:cs="Arial" w:eastAsia="Arial" w:hAnsi="Arial"/>
          <w:b/>
          <w:bCs/>
          <w:color w:val="0B1F3A"/>
          <w:sz w:val="24"/>
          <w:szCs w:val="24"/>
        </w:rPr>
        <w:t xml:space="preserve">Abstract</w:t>
      </w:r>
    </w:p>
    <w:p>
      <w:pPr>
        <w:spacing w:after="300" w:before="0" w:line="288"/>
        <w:jc w:val="both"/>
      </w:pPr>
      <w:r>
        <w:rPr>
          <w:rFonts w:ascii="Palatino Linotype" w:cs="Palatino Linotype" w:eastAsia="Palatino Linotype" w:hAnsi="Palatino Linotype"/>
          <w:color w:val="1A1A1A"/>
          <w:sz w:val="22"/>
          <w:szCs w:val="22"/>
        </w:rPr>
        <w:t xml:space="preserve">Spectral Resonance String Mechanics (SRSM) identifies the Spectron — a single eigenvalue of the matrix-valued resonance operator 𝔇ᴵ, confined to a discrete resonance lattice and subject to Calogero–Moser repulsion from every other Spectron — as the theory's elementary spectral constituent. This note proposes and specifies the first terrestrial deployment candidate for probing Spectron mechanics directly: linear Paul-trap ion crystals with engineered long-range, power-law-tunable spin–spin (or force) interactions. We construct an explicit mapping dictionary between the SRSM formalism and the trapped-ion Hamiltonian, show that the native inverse-square limit of engineered ion interactions reproduces the Calogero–Moser potential of Appendix A of the companion mechanics paper term-for-term, and propose a Floquet drive protocol that emulates the resonance-lattice confinement of the gap potential V_gap. We derive observable signatures — level-spacing statistics, drive-locked position quantization, and phonon-sideband analogues of the finite-N spectral form factor — and lay out a staged experimental protocol (SR-1a through SR-1d) of increasing fidelity to the full SRSM eigenvalue-gas limit. We conclude that trapped-ion platforms are, at present, the single most direct available laboratory realization of Spectron mechanics, though full recovery of the emergent Polyakov string requires ion numbers well beyond current hardware.</w:t>
      </w:r>
    </w:p>
    <w:p>
      <w:pPr>
        <w:pStyle w:val="Heading1"/>
        <w:pBdr>
          <w:bottom w:val="single" w:color="C9A84C" w:sz="8" w:space="4"/>
        </w:pBdr>
        <w:spacing w:after="200" w:before="400"/>
      </w:pPr>
      <w:r>
        <w:rPr>
          <w:rFonts w:ascii="Arial" w:cs="Arial" w:eastAsia="Arial" w:hAnsi="Arial"/>
          <w:b/>
          <w:bCs/>
          <w:color w:val="0B1F3A"/>
          <w:sz w:val="30"/>
          <w:szCs w:val="30"/>
        </w:rPr>
        <w:t xml:space="preserve">1. Introduction</w:t>
      </w:r>
    </w:p>
    <w:p>
      <w:pPr>
        <w:spacing w:after="200" w:before="0" w:line="288"/>
        <w:jc w:val="both"/>
      </w:pPr>
      <w:r>
        <w:rPr>
          <w:rFonts w:ascii="Palatino Linotype" w:cs="Palatino Linotype" w:eastAsia="Palatino Linotype" w:hAnsi="Palatino Linotype"/>
          <w:color w:val="1A1A1A"/>
          <w:sz w:val="22"/>
          <w:szCs w:val="22"/>
        </w:rPr>
        <w:t xml:space="preserve">The companion papers on Spectral Resonance String Theory and Spectral Resonance String Mechanics (SRSM) establish that the string worldsheet, the Polyakov action, and ultimately spacetime geometry itself emerge as the continuum hydrodynamic limit of a discrete eigenvalue gas: the Spectron gas. Section 2.4 of the mechanics paper isolates the Spectron as the theory's elementary unit — a point in eigenvalue space, confined to a resonance lattice of spacing Δ, repelling every other Spectron through a rational Calogero–Moser potential inherited from the Vandermonde measure of the underlying matrix model.</w:t>
      </w:r>
    </w:p>
    <w:p>
      <w:pPr>
        <w:spacing w:after="200" w:before="0" w:line="288"/>
        <w:jc w:val="both"/>
      </w:pPr>
      <w:r>
        <w:rPr>
          <w:rFonts w:ascii="Palatino Linotype" w:cs="Palatino Linotype" w:eastAsia="Palatino Linotype" w:hAnsi="Palatino Linotype"/>
          <w:color w:val="1A1A1A"/>
          <w:sz w:val="22"/>
          <w:szCs w:val="22"/>
        </w:rPr>
        <w:t xml:space="preserve">This deployment note asks the natural question raised for every layer of the Dust LLC corpus: what terrestrial, buildable system realizes this unit physically, in the same sense that a superconducting transmon realizes the qubit or a Josephson-junction array realizes phase-locking? We argue that the answer, for the Spectron specifically, is the trapped-ion Coulomb crystal under engineered long-range coupling — a platform already well developed for quantum simulation of long-range spin models, and one whose native physics maps onto SRSM's Calogero–Moser sector with unusual directness.</w:t>
      </w:r>
    </w:p>
    <w:p>
      <w:pPr>
        <w:spacing w:after="200" w:before="0" w:line="288"/>
        <w:jc w:val="both"/>
      </w:pPr>
      <w:r>
        <w:rPr>
          <w:rFonts w:ascii="Palatino Linotype" w:cs="Palatino Linotype" w:eastAsia="Palatino Linotype" w:hAnsi="Palatino Linotype"/>
          <w:color w:val="1A1A1A"/>
          <w:sz w:val="22"/>
          <w:szCs w:val="22"/>
        </w:rPr>
        <w:t xml:space="preserve">This is deliberately framed as a staged deployment note, following the convention established for the PM series' terrestrial phase-substrate probes. We do not claim that current hardware reaches the continuum Spectron-gas limit; we claim that the discrete, finite-N regime of SRSM — arguably the more falsifiable regime, since it is where the finite-N spectral form factor and resonance-lattice locking live — is reachable with existing ion-trap technology.</w:t>
      </w:r>
    </w:p>
    <w:p>
      <w:pPr>
        <w:pStyle w:val="Heading1"/>
        <w:pBdr>
          <w:bottom w:val="single" w:color="C9A84C" w:sz="8" w:space="4"/>
        </w:pBdr>
        <w:spacing w:after="200" w:before="400"/>
      </w:pPr>
      <w:r>
        <w:rPr>
          <w:rFonts w:ascii="Arial" w:cs="Arial" w:eastAsia="Arial" w:hAnsi="Arial"/>
          <w:b/>
          <w:bCs/>
          <w:color w:val="0B1F3A"/>
          <w:sz w:val="30"/>
          <w:szCs w:val="30"/>
        </w:rPr>
        <w:t xml:space="preserve">2. Recap: The Spectron and Its Governing Mechanics</w:t>
      </w:r>
    </w:p>
    <w:p>
      <w:pPr>
        <w:spacing w:after="200" w:before="0" w:line="288"/>
        <w:jc w:val="both"/>
      </w:pPr>
      <w:r>
        <w:rPr>
          <w:rFonts w:ascii="Palatino Linotype" w:cs="Palatino Linotype" w:eastAsia="Palatino Linotype" w:hAnsi="Palatino Linotype"/>
          <w:color w:val="1A1A1A"/>
          <w:sz w:val="22"/>
          <w:szCs w:val="22"/>
        </w:rPr>
        <w:t xml:space="preserve">We recall the essential structure from Sections 2.4, 5.1, and Appendix A of the SRSM mechanics paper, restricting to the single-matrix (D = 1 direction) case relevant to a one-dimensional ion crystal; the generalization to multiple trap directions realizes multiple SRSM target-space indices I simultaneously (Section 6).</w:t>
      </w:r>
    </w:p>
    <w:p>
      <w:pPr>
        <w:spacing w:after="120" w:before="200"/>
      </w:pPr>
      <w:r>
        <w:rPr>
          <w:rFonts w:ascii="Arial" w:cs="Arial" w:eastAsia="Arial" w:hAnsi="Arial"/>
          <w:b/>
          <w:bCs/>
          <w:i/>
          <w:iCs/>
          <w:color w:val="3A3A3A"/>
          <w:sz w:val="22"/>
          <w:szCs w:val="22"/>
        </w:rPr>
        <w:t xml:space="preserve">2.1 The Spectron</w:t>
      </w:r>
    </w:p>
    <w:p>
      <w:pPr>
        <w:spacing w:after="200" w:before="0" w:line="288"/>
        <w:jc w:val="both"/>
      </w:pPr>
      <w:r>
        <w:rPr>
          <w:rFonts w:ascii="Palatino Linotype" w:cs="Palatino Linotype" w:eastAsia="Palatino Linotype" w:hAnsi="Palatino Linotype"/>
          <w:color w:val="1A1A1A"/>
          <w:sz w:val="22"/>
          <w:szCs w:val="22"/>
        </w:rPr>
        <w:t xml:space="preserve">A Spectron is the pair σₐ = (λₐ, πₐ), the a-th eigenvalue of the resonance operator 𝔇 together with its conjugate momentum, drawn from N total constituents.</w:t>
      </w:r>
    </w:p>
    <w:p>
      <w:pPr>
        <w:spacing w:after="120" w:before="200"/>
      </w:pPr>
      <w:r>
        <w:rPr>
          <w:rFonts w:ascii="Arial" w:cs="Arial" w:eastAsia="Arial" w:hAnsi="Arial"/>
          <w:b/>
          <w:bCs/>
          <w:i/>
          <w:iCs/>
          <w:color w:val="3A3A3A"/>
          <w:sz w:val="22"/>
          <w:szCs w:val="22"/>
        </w:rPr>
        <w:t xml:space="preserve">2.2 Resonance-lattice confinement</w:t>
      </w:r>
    </w:p>
    <w:p>
      <w:pPr>
        <w:spacing w:after="200" w:before="0" w:line="288"/>
        <w:jc w:val="both"/>
      </w:pPr>
      <w:r>
        <w:rPr>
          <w:rFonts w:ascii="Palatino Linotype" w:cs="Palatino Linotype" w:eastAsia="Palatino Linotype" w:hAnsi="Palatino Linotype"/>
          <w:color w:val="1A1A1A"/>
          <w:sz w:val="22"/>
          <w:szCs w:val="22"/>
        </w:rPr>
        <w:t xml:space="preserve">The gap potential locks each Spectron onto a discrete lattice, λₐ ≃ nₐΔ with nₐ ∈ ℤ, where Δ sets the string scale via α’ = Δ⁻².</w:t>
      </w:r>
    </w:p>
    <w:p>
      <w:pPr>
        <w:spacing w:after="120" w:before="200"/>
      </w:pPr>
      <w:r>
        <w:rPr>
          <w:rFonts w:ascii="Arial" w:cs="Arial" w:eastAsia="Arial" w:hAnsi="Arial"/>
          <w:b/>
          <w:bCs/>
          <w:i/>
          <w:iCs/>
          <w:color w:val="3A3A3A"/>
          <w:sz w:val="22"/>
          <w:szCs w:val="22"/>
        </w:rPr>
        <w:t xml:space="preserve">2.3 Calogero–Moser repulsion</w:t>
      </w:r>
    </w:p>
    <w:p>
      <w:pPr>
        <w:spacing w:after="200" w:before="0" w:line="288"/>
        <w:jc w:val="both"/>
      </w:pPr>
      <w:r>
        <w:rPr>
          <w:rFonts w:ascii="Palatino Linotype" w:cs="Palatino Linotype" w:eastAsia="Palatino Linotype" w:hAnsi="Palatino Linotype"/>
          <w:color w:val="1A1A1A"/>
          <w:sz w:val="22"/>
          <w:szCs w:val="22"/>
        </w:rPr>
        <w:t xml:space="preserve">Integrating out the angular (gauge) sector of the Vandermonde measure ∏ₐ&lt;ᵇ |λₐ − λᵇ|² yields the pairwise potential</w:t>
      </w:r>
    </w:p>
    <w:p>
      <w:pPr>
        <w:spacing w:after="200" w:before="100"/>
        <w:jc w:val="center"/>
      </w:pPr>
      <w:r>
        <w:rPr>
          <w:rFonts w:ascii="Cambria Math" w:cs="Cambria Math" w:eastAsia="Cambria Math" w:hAnsi="Cambria Math"/>
          <w:i/>
          <w:iCs/>
          <w:color w:val="1A1A1A"/>
          <w:sz w:val="22"/>
          <w:szCs w:val="22"/>
        </w:rPr>
        <w:t xml:space="preserve">V_ab = 1 / [ 2(λₐ − λᵇ)² ]</w:t>
      </w:r>
    </w:p>
    <w:p>
      <w:pPr>
        <w:spacing w:after="200" w:before="0" w:line="288"/>
        <w:jc w:val="both"/>
      </w:pPr>
      <w:r>
        <w:rPr>
          <w:rFonts w:ascii="Palatino Linotype" w:cs="Palatino Linotype" w:eastAsia="Palatino Linotype" w:hAnsi="Palatino Linotype"/>
          <w:color w:val="1A1A1A"/>
          <w:sz w:val="22"/>
          <w:szCs w:val="22"/>
        </w:rPr>
        <w:t xml:space="preserve">the rational Calogero–Moser interaction (Appendix A). This is the single most experimentally accessible signature of Spectron mechanics: it is a concrete, measurable inverse-square force law between discrete constituents, independent of the harder-to-reach continuum limit.</w:t>
      </w:r>
    </w:p>
    <w:p>
      <w:pPr>
        <w:spacing w:after="120" w:before="200"/>
      </w:pPr>
      <w:r>
        <w:rPr>
          <w:rFonts w:ascii="Arial" w:cs="Arial" w:eastAsia="Arial" w:hAnsi="Arial"/>
          <w:b/>
          <w:bCs/>
          <w:i/>
          <w:iCs/>
          <w:color w:val="3A3A3A"/>
          <w:sz w:val="22"/>
          <w:szCs w:val="22"/>
        </w:rPr>
        <w:t xml:space="preserve">2.4 Continuum (hydrodynamic) limit</w:t>
      </w:r>
    </w:p>
    <w:p>
      <w:pPr>
        <w:spacing w:after="200" w:before="0" w:line="288"/>
        <w:jc w:val="both"/>
      </w:pPr>
      <w:r>
        <w:rPr>
          <w:rFonts w:ascii="Palatino Linotype" w:cs="Palatino Linotype" w:eastAsia="Palatino Linotype" w:hAnsi="Palatino Linotype"/>
          <w:color w:val="1A1A1A"/>
          <w:sz w:val="22"/>
          <w:szCs w:val="22"/>
        </w:rPr>
        <w:t xml:space="preserve">At large N, the Spectron density ρ(x,σ,τ) = (1/N)Σₐ δ(x − λₐ) condenses into the eigenvalue fluid whose fluctuations reproduce the emergent coordinate field X and the Polyakov kinetic term. This regime is the eventual target of the deployment series but is not required for the initial SR-1 probes below, which target Sections 2.2–2.3 directly.</w:t>
      </w:r>
    </w:p>
    <w:p>
      <w:pPr>
        <w:pStyle w:val="Heading1"/>
        <w:pBdr>
          <w:bottom w:val="single" w:color="C9A84C" w:sz="8" w:space="4"/>
        </w:pBdr>
        <w:spacing w:after="200" w:before="400"/>
      </w:pPr>
      <w:r>
        <w:rPr>
          <w:rFonts w:ascii="Arial" w:cs="Arial" w:eastAsia="Arial" w:hAnsi="Arial"/>
          <w:b/>
          <w:bCs/>
          <w:color w:val="0B1F3A"/>
          <w:sz w:val="30"/>
          <w:szCs w:val="30"/>
        </w:rPr>
        <w:t xml:space="preserve">3. The Trapped-Ion Platform</w:t>
      </w:r>
    </w:p>
    <w:p>
      <w:pPr>
        <w:pStyle w:val="Heading2"/>
        <w:spacing w:after="150" w:before="300"/>
      </w:pPr>
      <w:r>
        <w:rPr>
          <w:rFonts w:ascii="Arial" w:cs="Arial" w:eastAsia="Arial" w:hAnsi="Arial"/>
          <w:b/>
          <w:bCs/>
          <w:color w:val="0B1F3A"/>
          <w:sz w:val="24"/>
          <w:szCs w:val="24"/>
        </w:rPr>
        <w:t xml:space="preserve">3.1 Physical setup</w:t>
      </w:r>
    </w:p>
    <w:p>
      <w:pPr>
        <w:spacing w:after="200" w:before="0" w:line="288"/>
        <w:jc w:val="both"/>
      </w:pPr>
      <w:r>
        <w:rPr>
          <w:rFonts w:ascii="Palatino Linotype" w:cs="Palatino Linotype" w:eastAsia="Palatino Linotype" w:hAnsi="Palatino Linotype"/>
          <w:color w:val="1A1A1A"/>
          <w:sz w:val="22"/>
          <w:szCs w:val="22"/>
        </w:rPr>
        <w:t xml:space="preserve">A linear radiofrequency (Paul) trap confines N singly-ionized atoms (candidate species: ytterbium-171, beryllium-9, or calcium-40) along the trap axis under a combination of RF micromotion confinement (radial) and static DC confinement (axial). In the linear-chain regime, the ions form an equally-spaced-in-equilibrium crystal whose small-oscillation normal modes are the trap's phonon spectrum.</w:t>
      </w:r>
    </w:p>
    <w:p>
      <w:pPr>
        <w:spacing w:after="200" w:before="0" w:line="288"/>
        <w:jc w:val="both"/>
      </w:pPr>
      <w:r>
        <w:rPr>
          <w:rFonts w:ascii="Palatino Linotype" w:cs="Palatino Linotype" w:eastAsia="Palatino Linotype" w:hAnsi="Palatino Linotype"/>
          <w:color w:val="1A1A1A"/>
          <w:sz w:val="22"/>
          <w:szCs w:val="22"/>
        </w:rPr>
        <w:t xml:space="preserve">The ions' equilibrium axial positions zₐ are themselves already determined by a balance of harmonic axial confinement and mutual Coulomb repulsion — i.e., trapped-ion crystals are, in their native un-engineered form, a physical instance of a one-dimensional Coulomb (not Calogero–Moser) eigenvalue gas. The task of SR-1 is to show how the native Coulomb interaction is reshaped, via established laser-engineering techniques, into the specific inverse-square Calogero–Moser form required by Section 2.3.</w:t>
      </w:r>
    </w:p>
    <w:p>
      <w:pPr>
        <w:pStyle w:val="Heading2"/>
        <w:spacing w:after="150" w:before="300"/>
      </w:pPr>
      <w:r>
        <w:rPr>
          <w:rFonts w:ascii="Arial" w:cs="Arial" w:eastAsia="Arial" w:hAnsi="Arial"/>
          <w:b/>
          <w:bCs/>
          <w:color w:val="0B1F3A"/>
          <w:sz w:val="24"/>
          <w:szCs w:val="24"/>
        </w:rPr>
        <w:t xml:space="preserve">3.2 Engineered long-range interactions</w:t>
      </w:r>
    </w:p>
    <w:p>
      <w:pPr>
        <w:spacing w:after="200" w:before="0" w:line="288"/>
        <w:jc w:val="both"/>
      </w:pPr>
      <w:r>
        <w:rPr>
          <w:rFonts w:ascii="Palatino Linotype" w:cs="Palatino Linotype" w:eastAsia="Palatino Linotype" w:hAnsi="Palatino Linotype"/>
          <w:color w:val="1A1A1A"/>
          <w:sz w:val="22"/>
          <w:szCs w:val="22"/>
        </w:rPr>
        <w:t xml:space="preserve">Bichromatic (Mølmer–Sørensen-type) laser fields coupling ion internal states to the collective phonon modes generate effective spin–spin or force–force interactions of tunable power-law form,</w:t>
      </w:r>
    </w:p>
    <w:p>
      <w:pPr>
        <w:spacing w:after="200" w:before="100"/>
        <w:jc w:val="center"/>
      </w:pPr>
      <w:r>
        <w:rPr>
          <w:rFonts w:ascii="Cambria Math" w:cs="Cambria Math" w:eastAsia="Cambria Math" w:hAnsi="Cambria Math"/>
          <w:i/>
          <w:iCs/>
          <w:color w:val="1A1A1A"/>
          <w:sz w:val="22"/>
          <w:szCs w:val="22"/>
        </w:rPr>
        <w:t xml:space="preserve">J_ab ∝ 1 / |zₐ − zᵇ|^α,      0 ≤ α ≤ 3,</w:t>
      </w:r>
    </w:p>
    <w:p>
      <w:pPr>
        <w:spacing w:after="200" w:before="0" w:line="288"/>
        <w:jc w:val="both"/>
      </w:pPr>
      <w:r>
        <w:rPr>
          <w:rFonts w:ascii="Palatino Linotype" w:cs="Palatino Linotype" w:eastAsia="Palatino Linotype" w:hAnsi="Palatino Linotype"/>
          <w:color w:val="1A1A1A"/>
          <w:sz w:val="22"/>
          <w:szCs w:val="22"/>
        </w:rPr>
        <w:t xml:space="preserve">with α continuously adjustable by detuning the driving field from the phonon sidebands. This is standard, already-demonstrated ion-trap technology used for quantum simulation of long-range spin models; SR-1 requires nothing beyond tuning α → 2 and reinterpreting the resulting effective potential as a direct realization of V_ab.</w:t>
      </w:r>
    </w:p>
    <w:p>
      <w:pPr>
        <w:pStyle w:val="Heading1"/>
        <w:pBdr>
          <w:bottom w:val="single" w:color="C9A84C" w:sz="8" w:space="4"/>
        </w:pBdr>
        <w:spacing w:after="200" w:before="400"/>
      </w:pPr>
      <w:r>
        <w:rPr>
          <w:rFonts w:ascii="Arial" w:cs="Arial" w:eastAsia="Arial" w:hAnsi="Arial"/>
          <w:b/>
          <w:bCs/>
          <w:color w:val="0B1F3A"/>
          <w:sz w:val="30"/>
          <w:szCs w:val="30"/>
        </w:rPr>
        <w:t xml:space="preserve">4. Mapping Dictionary: SRSM ↔ Trapped 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SRSM object</w:t>
            </w:r>
          </w:p>
        </w:tc>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Trapped-ion realization</w:t>
            </w:r>
          </w:p>
        </w:tc>
        <w:tc>
          <w:tcPr>
            <w:tcW w:type="dxa" w:w="315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Notes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Spectron σₐ = (λₐ, πₐ)</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Ion a: axial position zₐ, axial momentum pₐ</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Direct 1:1 identification</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Resonance lattice spacing Δ</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Floquet drive tone spacing / trap axial frequency ω_z</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Set by protocol, Section 5</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Calogero–Moser potential V_ab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Engineered power-law coupling J_ab at α = 2</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Native to Mølmer–Sørensen platforms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Coherence 𝔇_ab (a ≠ 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Phonon-mediated spin–spin entanglement between ions a, b</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Sources emergent Θ^IJ, Section 2.4.5</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Spectron density ρ(x,σ,τ)</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Coarse-grained ion linear density along trap axis</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Continuum limit, large-N only</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Target-space index I</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Independent trap axes (axial, two radial)</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 ≤ 3 realizable per crystal</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Finite-N spectral form factor ℱ_spec</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Phonon sideband broadening / motional decoherence envelope</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Predicted signature, Section 6.3</w:t>
            </w:r>
          </w:p>
        </w:tc>
      </w:tr>
    </w:tbl>
    <w:p>
      <w:pPr>
        <w:spacing w:after="200" w:before="0" w:line="288"/>
        <w:jc w:val="both"/>
      </w:pPr>
      <w:r>
        <w:rPr>
          <w:rFonts w:ascii="Palatino Linotype" w:cs="Palatino Linotype" w:eastAsia="Palatino Linotype" w:hAnsi="Palatino Linotype"/>
          <w:color w:val="1A1A1A"/>
          <w:sz w:val="22"/>
          <w:szCs w:val="22"/>
        </w:rPr>
        <w:t xml:space="preserve"/>
      </w:r>
    </w:p>
    <w:p>
      <w:pPr>
        <w:pStyle w:val="Heading1"/>
        <w:pBdr>
          <w:bottom w:val="single" w:color="C9A84C" w:sz="8" w:space="4"/>
        </w:pBdr>
        <w:spacing w:after="200" w:before="400"/>
      </w:pPr>
      <w:r>
        <w:rPr>
          <w:rFonts w:ascii="Arial" w:cs="Arial" w:eastAsia="Arial" w:hAnsi="Arial"/>
          <w:b/>
          <w:bCs/>
          <w:color w:val="0B1F3A"/>
          <w:sz w:val="30"/>
          <w:szCs w:val="30"/>
        </w:rPr>
        <w:t xml:space="preserve">5. Realizing the Resonance Lattice (SR-1a)</w:t>
      </w:r>
    </w:p>
    <w:p>
      <w:pPr>
        <w:spacing w:after="200" w:before="0" w:line="288"/>
        <w:jc w:val="both"/>
      </w:pPr>
      <w:r>
        <w:rPr>
          <w:rFonts w:ascii="Palatino Linotype" w:cs="Palatino Linotype" w:eastAsia="Palatino Linotype" w:hAnsi="Palatino Linotype"/>
          <w:color w:val="1A1A1A"/>
          <w:sz w:val="22"/>
          <w:szCs w:val="22"/>
        </w:rPr>
        <w:t xml:space="preserve">The gap potential V_gap(𝔇) = (ρ/2) Tr[1 − cos(2π𝔇/Δ)] has no native trapped-ion analogue; it must be engineered. We propose a periodic (Floquet) modulation of the axial confining potential at frequency Ω_d, chosen commensurate with a target lattice spacing Δ. Ion equilibrium positions under such a drive develop discrete stable ‘parking’ configurations — the ion-trap analogue of Shapiro-step locking — at positions satisfying</w:t>
      </w:r>
    </w:p>
    <w:p>
      <w:pPr>
        <w:spacing w:after="200" w:before="100"/>
        <w:jc w:val="center"/>
      </w:pPr>
      <w:r>
        <w:rPr>
          <w:rFonts w:ascii="Cambria Math" w:cs="Cambria Math" w:eastAsia="Cambria Math" w:hAnsi="Cambria Math"/>
          <w:i/>
          <w:iCs/>
          <w:color w:val="1A1A1A"/>
          <w:sz w:val="22"/>
          <w:szCs w:val="22"/>
        </w:rPr>
        <w:t xml:space="preserve">zₐ ≃ nₐ · (2π v_d / Ω_d),    nₐ ∈ ℤ,</w:t>
      </w:r>
    </w:p>
    <w:p>
      <w:pPr>
        <w:spacing w:after="200" w:before="0" w:line="288"/>
        <w:jc w:val="both"/>
      </w:pPr>
      <w:r>
        <w:rPr>
          <w:rFonts w:ascii="Palatino Linotype" w:cs="Palatino Linotype" w:eastAsia="Palatino Linotype" w:hAnsi="Palatino Linotype"/>
          <w:color w:val="1A1A1A"/>
          <w:sz w:val="22"/>
          <w:szCs w:val="22"/>
        </w:rPr>
        <w:t xml:space="preserve">where v_d is a drive-induced characteristic velocity scale. This is the direct structural analogue of λₐ ≃ nₐΔ, and identifying Δ with the drive-set spacing 2πv_d/Ω_d completes the resonance-lattice mapping. Because Shapiro-step locking is already an established phenomenon in driven nonlinear lattices and Josephson arrays (cf. PM-4 in the Phase Mechanics deployment series), its ion-trap realization here is an adaptation of known control techniques rather than a new physical mechanism.</w:t>
      </w:r>
    </w:p>
    <w:p>
      <w:pPr>
        <w:pStyle w:val="Heading1"/>
        <w:pBdr>
          <w:bottom w:val="single" w:color="C9A84C" w:sz="8" w:space="4"/>
        </w:pBdr>
        <w:spacing w:after="200" w:before="400"/>
      </w:pPr>
      <w:r>
        <w:rPr>
          <w:rFonts w:ascii="Arial" w:cs="Arial" w:eastAsia="Arial" w:hAnsi="Arial"/>
          <w:b/>
          <w:bCs/>
          <w:color w:val="0B1F3A"/>
          <w:sz w:val="30"/>
          <w:szCs w:val="30"/>
        </w:rPr>
        <w:t xml:space="preserve">6. Predicted Observables and Signatures</w:t>
      </w:r>
    </w:p>
    <w:p>
      <w:pPr>
        <w:pStyle w:val="Heading2"/>
        <w:spacing w:after="150" w:before="300"/>
      </w:pPr>
      <w:r>
        <w:rPr>
          <w:rFonts w:ascii="Arial" w:cs="Arial" w:eastAsia="Arial" w:hAnsi="Arial"/>
          <w:b/>
          <w:bCs/>
          <w:color w:val="0B1F3A"/>
          <w:sz w:val="24"/>
          <w:szCs w:val="24"/>
        </w:rPr>
        <w:t xml:space="preserve">6.1 Inverse-square level statistics</w:t>
      </w:r>
    </w:p>
    <w:p>
      <w:pPr>
        <w:spacing w:after="200" w:before="0" w:line="288"/>
        <w:jc w:val="both"/>
      </w:pPr>
      <w:r>
        <w:rPr>
          <w:rFonts w:ascii="Palatino Linotype" w:cs="Palatino Linotype" w:eastAsia="Palatino Linotype" w:hAnsi="Palatino Linotype"/>
          <w:color w:val="1A1A1A"/>
          <w:sz w:val="22"/>
          <w:szCs w:val="22"/>
        </w:rPr>
        <w:t xml:space="preserve">At α = 2 driving, the equilibrium ion-position spacing statistics should follow Calogero–Moser nearest-neighbor repulsion rather than the native Coulomb (α = 3) crystal statistics — a directly measurable deviation via site-resolved fluorescence imaging.</w:t>
      </w:r>
    </w:p>
    <w:p>
      <w:pPr>
        <w:pStyle w:val="Heading2"/>
        <w:spacing w:after="150" w:before="300"/>
      </w:pPr>
      <w:r>
        <w:rPr>
          <w:rFonts w:ascii="Arial" w:cs="Arial" w:eastAsia="Arial" w:hAnsi="Arial"/>
          <w:b/>
          <w:bCs/>
          <w:color w:val="0B1F3A"/>
          <w:sz w:val="24"/>
          <w:szCs w:val="24"/>
        </w:rPr>
        <w:t xml:space="preserve">6.2 Drive-locked position quantization</w:t>
      </w:r>
    </w:p>
    <w:p>
      <w:pPr>
        <w:spacing w:after="200" w:before="0" w:line="288"/>
        <w:jc w:val="both"/>
      </w:pPr>
      <w:r>
        <w:rPr>
          <w:rFonts w:ascii="Palatino Linotype" w:cs="Palatino Linotype" w:eastAsia="Palatino Linotype" w:hAnsi="Palatino Linotype"/>
          <w:color w:val="1A1A1A"/>
          <w:sz w:val="22"/>
          <w:szCs w:val="22"/>
        </w:rPr>
        <w:t xml:space="preserve">Under the SR-1a Floquet protocol, ion positions should exhibit discrete plateaus as a function of drive amplitude, directly analogous to Shapiro voltage steps, confirming resonance-lattice confinement (Section 2.4.3) rather than continuous Coulomb equilibrium.</w:t>
      </w:r>
    </w:p>
    <w:p>
      <w:pPr>
        <w:pStyle w:val="Heading2"/>
        <w:spacing w:after="150" w:before="300"/>
      </w:pPr>
      <w:r>
        <w:rPr>
          <w:rFonts w:ascii="Arial" w:cs="Arial" w:eastAsia="Arial" w:hAnsi="Arial"/>
          <w:b/>
          <w:bCs/>
          <w:color w:val="0B1F3A"/>
          <w:sz w:val="24"/>
          <w:szCs w:val="24"/>
        </w:rPr>
        <w:t xml:space="preserve">6.3 Phonon-sideband analogue of the spectral form factor</w:t>
      </w:r>
    </w:p>
    <w:p>
      <w:pPr>
        <w:spacing w:after="200" w:before="0" w:line="288"/>
        <w:jc w:val="both"/>
      </w:pPr>
      <w:r>
        <w:rPr>
          <w:rFonts w:ascii="Palatino Linotype" w:cs="Palatino Linotype" w:eastAsia="Palatino Linotype" w:hAnsi="Palatino Linotype"/>
          <w:color w:val="1A1A1A"/>
          <w:sz w:val="22"/>
          <w:szCs w:val="22"/>
        </w:rPr>
        <w:t xml:space="preserve">SRSM predicts a finite-N softening factor ℱ_spec(s,t,u) = exp[−(s²+t²+u²)/16Λₙ²] with Λₙ = Δ√N (Section 8.2, Appendix C). In the ion-trap realization, the analogous quantity is the N-dependent broadening envelope of motional sideband transitions under the engineered coupling; its predicted scaling with √N is a falsifiable, ion-number-dependent signature distinguishing genuine Spectron-gas behavior from an ordinary harmonic phonon spectrum.</w:t>
      </w:r>
    </w:p>
    <w:p>
      <w:pPr>
        <w:pStyle w:val="Heading1"/>
        <w:pBdr>
          <w:bottom w:val="single" w:color="C9A84C" w:sz="8" w:space="4"/>
        </w:pBdr>
        <w:spacing w:after="200" w:before="400"/>
      </w:pPr>
      <w:r>
        <w:rPr>
          <w:rFonts w:ascii="Arial" w:cs="Arial" w:eastAsia="Arial" w:hAnsi="Arial"/>
          <w:b/>
          <w:bCs/>
          <w:color w:val="0B1F3A"/>
          <w:sz w:val="30"/>
          <w:szCs w:val="30"/>
        </w:rPr>
        <w:t xml:space="preserve">7. Staged Experimental Protocol</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SR-1a — Resonance-lattice locking: apply Floquet axial drive to a small ion chain (N = 3–5) and confirm discrete position plateaus (Section 5).</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SR-1b — Calogero–Moser repulsion: tune Mølmer–Sørensen detuning to α = 2 and measure deviation of equilibrium spacing statistics from native Coulomb (α = 3) behavior.</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SR-1c — Combined lattice + repulsion: operate SR-1a and SR-1b simultaneously on a chain of N = 8–12 ions; verify that locked positions redistribute according to the Calogero–Moser potential rather than remaining uniformly spaced.</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SR-1d — Finite-N scaling: repeat SR-1c across a range of chain lengths (N ≈ 5 to the current multi-ion-processor ceiling, N ≈ 50–100) to test the predicted √N scaling of the sideband-broadening analogue of ℱ_spec.</w:t>
      </w:r>
    </w:p>
    <w:p>
      <w:pPr>
        <w:spacing w:after="200" w:before="100" w:line="288"/>
        <w:jc w:val="both"/>
      </w:pPr>
      <w:r>
        <w:rPr>
          <w:rFonts w:ascii="Palatino Linotype" w:cs="Palatino Linotype" w:eastAsia="Palatino Linotype" w:hAnsi="Palatino Linotype"/>
          <w:color w:val="1A1A1A"/>
          <w:sz w:val="22"/>
          <w:szCs w:val="22"/>
        </w:rPr>
        <w:t xml:space="preserve">Recovery of the full continuum eigenvalue-fluid limit (Section 2.4.7 of the mechanics paper) and hence a laboratory analogue of the emergent coordinate field Xᴵ itself would require N in the many-thousands range, well beyond SR-1d and beyond current trapped-ion processor scale; this is flagged explicitly as outside the reach of the present deployment note.</w:t>
      </w:r>
    </w:p>
    <w:p>
      <w:pPr>
        <w:pStyle w:val="Heading1"/>
        <w:pBdr>
          <w:bottom w:val="single" w:color="C9A84C" w:sz="8" w:space="4"/>
        </w:pBdr>
        <w:spacing w:after="200" w:before="400"/>
      </w:pPr>
      <w:r>
        <w:rPr>
          <w:rFonts w:ascii="Arial" w:cs="Arial" w:eastAsia="Arial" w:hAnsi="Arial"/>
          <w:b/>
          <w:bCs/>
          <w:color w:val="0B1F3A"/>
          <w:sz w:val="30"/>
          <w:szCs w:val="30"/>
        </w:rPr>
        <w:t xml:space="preserve">8. Limitations and Open Problems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Dimensionality: a single linear crystal realizes one target-space index I at a time; multi-axis (radial + axial) coupling to realize D &gt; 1 simultaneously has not been demonstrated at the fidelities SR-1c/d would require.</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Decoherence: motional heating and off-resonant photon scattering limit achievable N and coherence time; whether SR-1d's √N scaling is resolvable before decoherence dominates is an open experimental question, not a theoretical one.</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Off-diagonal coherence (Section 2.4.5): while phonon-mediated entanglement naturally realizes 𝔇_ab, disentangling its contribution to Θ^IJ from ordinary spin–spin entanglement signatures already studied in ion-trap literature requires a dedicated control experiment, proposed here as SR-1e but not yet specified.</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This note, like PM-11 in the Phase Mechanics series, should be read as existence-contingent on engineering feasibility at SR-1d scale; SR-1a and SR-1b alone are assessed as achievable with demonstrated present-day hardware.</w:t>
      </w:r>
    </w:p>
    <w:p>
      <w:pPr>
        <w:pStyle w:val="Heading1"/>
        <w:pBdr>
          <w:bottom w:val="single" w:color="C9A84C" w:sz="8" w:space="4"/>
        </w:pBdr>
        <w:spacing w:after="200" w:before="400"/>
      </w:pPr>
      <w:r>
        <w:rPr>
          <w:rFonts w:ascii="Arial" w:cs="Arial" w:eastAsia="Arial" w:hAnsi="Arial"/>
          <w:b/>
          <w:bCs/>
          <w:color w:val="0B1F3A"/>
          <w:sz w:val="30"/>
          <w:szCs w:val="30"/>
        </w:rPr>
        <w:t xml:space="preserve">9. Conclusion</w:t>
      </w:r>
    </w:p>
    <w:p>
      <w:pPr>
        <w:spacing w:after="200" w:before="0" w:line="288"/>
        <w:jc w:val="both"/>
      </w:pPr>
      <w:r>
        <w:rPr>
          <w:rFonts w:ascii="Palatino Linotype" w:cs="Palatino Linotype" w:eastAsia="Palatino Linotype" w:hAnsi="Palatino Linotype"/>
          <w:color w:val="1A1A1A"/>
          <w:sz w:val="22"/>
          <w:szCs w:val="22"/>
        </w:rPr>
        <w:t xml:space="preserve">Trapped-ion Coulomb crystals under engineered long-range coupling provide the most direct available terrestrial realization of Spectron mechanics: ion equilibrium positions map onto Spectrons, tunable power-law interactions map onto the Calogero–Moser potential of Appendix A at α = 2, and Floquet driving provides a controllable analogue of resonance-lattice confinement. The staged protocol SR-1a through SR-1d isolates falsifiable, near-term-achievable signatures — inverse-square level statistics and drive-locked position quantization — while flagging the full continuum Spectron-gas limit as a longer-horizon target requiring ion numbers beyond current hardware. This positions SR-1 as the leading candidate among the five deployment tracks proposed for the Spectron, and a natural first entry in the SR deployment series.</w:t>
      </w:r>
    </w:p>
    <w:p>
      <w:pPr>
        <w:pStyle w:val="Heading1"/>
        <w:pBdr>
          <w:bottom w:val="single" w:color="C9A84C" w:sz="8" w:space="4"/>
        </w:pBdr>
        <w:spacing w:after="200" w:before="400"/>
      </w:pPr>
      <w:r>
        <w:rPr>
          <w:rFonts w:ascii="Arial" w:cs="Arial" w:eastAsia="Arial" w:hAnsi="Arial"/>
          <w:b/>
          <w:bCs/>
          <w:color w:val="0B1F3A"/>
          <w:sz w:val="30"/>
          <w:szCs w:val="30"/>
        </w:rPr>
        <w:t xml:space="preserve">References</w:t>
      </w:r>
    </w:p>
    <w:p>
      <w:pPr>
        <w:spacing w:after="100" w:before="0" w:line="288"/>
        <w:jc w:val="left"/>
      </w:pPr>
      <w:r>
        <w:rPr>
          <w:rFonts w:ascii="Palatino Linotype" w:cs="Palatino Linotype" w:eastAsia="Palatino Linotype" w:hAnsi="Palatino Linotype"/>
          <w:color w:val="1A1A1A"/>
          <w:sz w:val="22"/>
          <w:szCs w:val="22"/>
        </w:rPr>
        <w:t xml:space="preserve">[1] Spectral Resonance String Mechanics: A Hamiltonian and Worldsheet Formulation of Pre-Geometric Resonance Strings. Preprint SRST-2026-002.</w:t>
      </w:r>
    </w:p>
    <w:p>
      <w:pPr>
        <w:spacing w:after="100" w:before="0" w:line="288"/>
        <w:jc w:val="left"/>
      </w:pPr>
      <w:r>
        <w:rPr>
          <w:rFonts w:ascii="Palatino Linotype" w:cs="Palatino Linotype" w:eastAsia="Palatino Linotype" w:hAnsi="Palatino Linotype"/>
          <w:color w:val="1A1A1A"/>
          <w:sz w:val="22"/>
          <w:szCs w:val="22"/>
        </w:rPr>
        <w:t xml:space="preserve">[2] D. Porras and J. I. Cirac, “Effective Quantum Spin Systems with Trapped Ions,” Phys. Rev. Lett. 92, 207901 (2004).</w:t>
      </w:r>
    </w:p>
    <w:p>
      <w:pPr>
        <w:spacing w:after="100" w:before="0" w:line="288"/>
        <w:jc w:val="left"/>
      </w:pPr>
      <w:r>
        <w:rPr>
          <w:rFonts w:ascii="Palatino Linotype" w:cs="Palatino Linotype" w:eastAsia="Palatino Linotype" w:hAnsi="Palatino Linotype"/>
          <w:color w:val="1A1A1A"/>
          <w:sz w:val="22"/>
          <w:szCs w:val="22"/>
        </w:rPr>
        <w:t xml:space="preserve">[3] R. Blatt and C. F. Roos, “Quantum Simulations with Trapped Ions,” Nature Physics 8, 277–284 (2012).</w:t>
      </w:r>
    </w:p>
    <w:p>
      <w:pPr>
        <w:spacing w:after="100" w:before="0" w:line="288"/>
        <w:jc w:val="left"/>
      </w:pPr>
      <w:r>
        <w:rPr>
          <w:rFonts w:ascii="Palatino Linotype" w:cs="Palatino Linotype" w:eastAsia="Palatino Linotype" w:hAnsi="Palatino Linotype"/>
          <w:color w:val="1A1A1A"/>
          <w:sz w:val="22"/>
          <w:szCs w:val="22"/>
        </w:rPr>
        <w:t xml:space="preserve">[4] F. Calogero, “Solution of a Three-Body Problem in One Dimension,” J. Math. Phys. 10, 2191–2196 (1969).</w:t>
      </w:r>
    </w:p>
    <w:p>
      <w:pPr>
        <w:spacing w:after="100" w:before="0" w:line="288"/>
        <w:jc w:val="left"/>
      </w:pPr>
      <w:r>
        <w:rPr>
          <w:rFonts w:ascii="Palatino Linotype" w:cs="Palatino Linotype" w:eastAsia="Palatino Linotype" w:hAnsi="Palatino Linotype"/>
          <w:color w:val="1A1A1A"/>
          <w:sz w:val="22"/>
          <w:szCs w:val="22"/>
        </w:rPr>
        <w:t xml:space="preserve">[5] J. Zhang et al., “Observation of a Many-Body Dynamical Phase Transition with a 53-Qubit Quantum Simulator,” Nature 551, 601–604 (2017).</w:t>
      </w:r>
    </w:p>
    <w:p>
      <w:pPr>
        <w:spacing w:after="100" w:before="0" w:line="288"/>
        <w:jc w:val="left"/>
      </w:pPr>
      <w:r>
        <w:rPr>
          <w:rFonts w:ascii="Palatino Linotype" w:cs="Palatino Linotype" w:eastAsia="Palatino Linotype" w:hAnsi="Palatino Linotype"/>
          <w:color w:val="1A1A1A"/>
          <w:sz w:val="22"/>
          <w:szCs w:val="22"/>
        </w:rPr>
        <w:t xml:space="preserve">[6] Phase Mechanics PM-DECL-001 and PM Deployment Note Series (PM-2–PM-14), Dust Research Division.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10800"/>
      </w:tabs>
    </w:pPr>
    <w:r>
      <w:rPr>
        <w:rFonts w:ascii="Arial" w:cs="Arial" w:eastAsia="Arial" w:hAnsi="Arial"/>
        <w:color w:val="6A6A6A"/>
        <w:sz w:val="16"/>
        <w:szCs w:val="16"/>
      </w:rPr>
      <w:t xml:space="preserve">Spectral Resonance String Mechanics — Deployment Series</w:t>
    </w:r>
    <w:r>
      <w:rPr>
        <w:rFonts w:ascii="Arial" w:cs="Arial" w:eastAsia="Arial" w:hAnsi="Arial"/>
        <w:color w:val="6A6A6A"/>
        <w:sz w:val="16"/>
        <w:szCs w:val="16"/>
      </w:rPr>
      <w:t xml:space="preserve">	Page </w:t>
    </w:r>
    <w:r>
      <w:rPr>
        <w:rFonts w:ascii="Arial" w:cs="Arial" w:eastAsia="Arial" w:hAnsi="Arial"/>
        <w:color w:val="6A6A6A"/>
        <w:sz w:val="16"/>
        <w:szCs w:val="16"/>
      </w:rPr>
      <w:fldChar w:fldCharType="begin"/>
      <w:instrText xml:space="preserve">PAGE</w:instrText>
      <w:fldChar w:fldCharType="separate"/>
      <w:fldChar w:fldCharType="end"/>
    </w:r>
    <w:r>
      <w:rPr>
        <w:rFonts w:ascii="Arial" w:cs="Arial" w:eastAsia="Arial" w:hAnsi="Arial"/>
        <w:color w:val="6A6A6A"/>
        <w:sz w:val="16"/>
        <w:szCs w:val="16"/>
      </w:rPr>
      <w:t xml:space="preserve"> of </w:t>
    </w:r>
    <w:r>
      <w:rPr>
        <w:rFonts w:ascii="Arial" w:cs="Arial" w:eastAsia="Arial" w:hAnsi="Arial"/>
        <w:color w:val="6A6A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800"/>
      </w:tabs>
    </w:pPr>
    <w:r>
      <w:rPr>
        <w:rFonts w:ascii="Arial" w:cs="Arial" w:eastAsia="Arial" w:hAnsi="Arial"/>
        <w:b/>
        <w:bCs/>
        <w:color w:val="0B1F3A"/>
        <w:sz w:val="16"/>
        <w:szCs w:val="16"/>
      </w:rPr>
      <w:t xml:space="preserve">DUST LLC — THEORETICAL FOUNDATIONS GROUP</w:t>
    </w:r>
    <w:r>
      <w:rPr>
        <w:rFonts w:ascii="Arial" w:cs="Arial" w:eastAsia="Arial" w:hAnsi="Arial"/>
        <w:color w:val="C9A84C"/>
        <w:sz w:val="16"/>
        <w:szCs w:val="16"/>
      </w:rPr>
      <w:t xml:space="preserve">	SR-1 — Deployment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2026-08-10T06:27:53.284Z</dcterms:created>
  <dcterms:modified xsi:type="dcterms:W3CDTF">2026-08-10T06:27:53.284Z</dcterms:modified>
</cp:coreProperties>
</file>

<file path=docProps/custom.xml><?xml version="1.0" encoding="utf-8"?>
<Properties xmlns="http://schemas.openxmlformats.org/officeDocument/2006/custom-properties" xmlns:vt="http://schemas.openxmlformats.org/officeDocument/2006/docPropsVTypes"/>
</file>