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SR-5</w:t>
      </w:r>
    </w:p>
    <w:p>
      <w:pPr>
        <w:spacing w:after="80"/>
        <w:jc w:val="center"/>
      </w:pPr>
      <w:r>
        <w:rPr>
          <w:rFonts w:ascii="Arial" w:cs="Arial" w:eastAsia="Arial" w:hAnsi="Arial"/>
          <w:b/>
          <w:bCs/>
          <w:color w:val="0B1F3A"/>
          <w:sz w:val="34"/>
          <w:szCs w:val="34"/>
        </w:rPr>
        <w:t xml:space="preserve">Photonic Mesh Lattices as a Classical-Limit Stress Test for the Spectron Hydrodynamic Field</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SR-2026-005  •  August 10, 2026</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SR-1 through SR-4 target the microscopic sectors of Spectron mechanics — the eigenvalue, statistical, resonance-lattice, and matrix sectors of 𝔇ᴵ. This closing note in the SR deployment series inverts the approach and targets the output of SRSM's continuum limit directly: the collective hydrodynamic field theory of Section 5.2 of the mechanics paper, whose fluctuations reproduce the Polyakov kinetic term. We propose laser-written or lithographically-patterned photonic mesh lattices — arrays of evanescently coupled optical waveguides — as a classical analog simulator of this continuum limit, in which propagation distance plays the role of worldsheet time, transverse waveguide position plays the role of the worldsheet coordinate σ, and the guided light amplitude envelope plays the role of the Spectron density fluctuation δρ. Standard coupled-mode theory in the continuum limit reproduces the free wave equation of Section 5.2 directly; engineered Kerr nonlinearity offers a route toward the cubic hydrodynamic term of the collective Hamiltonian. We frame this explicitly, as anticipated when the platform was first proposed, as a classical-limit stress test: it validates the target partial differential structure that Spectron-gas hydrodynamics is supposed to produce, but carries no microscopic quantization, Vandermonde repulsion, or resonance-lattice content of its own — it is downstream of the Spectron gas, not the gas itself. We close by relating all five SR tracks and summarizing the sectoral coverage the completed series provides.</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The first four notes in this series worked from the microscopic end of SRSM inward: SR-1 built the Calogero–Moser potential and resonance lattice directly; SR-2 isolated the Vandermonde exponent governing Spectron repulsion; SR-3 found a native, unengineered realization of resonance-lattice locking; SR-4 proposed a route to the off-diagonal matrix structure underlying Spectron coherence. Each targets a piece of the discrete, pre-continuum theory.</w:t>
      </w:r>
    </w:p>
    <w:p>
      <w:pPr>
        <w:spacing w:after="200" w:before="0" w:line="288"/>
        <w:jc w:val="both"/>
      </w:pPr>
      <w:r>
        <w:rPr>
          <w:rFonts w:ascii="Palatino Linotype" w:cs="Palatino Linotype" w:eastAsia="Palatino Linotype" w:hAnsi="Palatino Linotype"/>
          <w:color w:val="1A1A1A"/>
          <w:sz w:val="22"/>
          <w:szCs w:val="22"/>
        </w:rPr>
        <w:t xml:space="preserve">SR-5 asks a different question: independent of whether any of SR-1 through SR-4 succeed at the microscopic level, does the continuum object SRSM claims to derive from Spectron hydrodynamics — the collective field theory of Section 5.2, and ultimately the Polyakov action itself — have a tabletop analog at all? Photonic mesh lattices are a natural candidate: they are governed by paraxial wave equations structurally identical to the free hydrodynamic fluctuation equation SRSM derives in the large-N limit, and this correspondence has been exploited for decades in photonics as a classical simulator of quantum-mechanical wave equations generally.</w:t>
      </w:r>
    </w:p>
    <w:p>
      <w:pPr>
        <w:spacing w:after="200" w:before="0" w:line="288"/>
        <w:jc w:val="both"/>
      </w:pPr>
      <w:r>
        <w:rPr>
          <w:rFonts w:ascii="Palatino Linotype" w:cs="Palatino Linotype" w:eastAsia="Palatino Linotype" w:hAnsi="Palatino Linotype"/>
          <w:color w:val="1A1A1A"/>
          <w:sz w:val="22"/>
          <w:szCs w:val="22"/>
        </w:rPr>
        <w:t xml:space="preserve">This note should be read as complementary to, not competing with, SR-1 through SR-4: a successful photonic demonstration of the target wave equation says nothing about whether Spectrons, Calogero–Moser repulsion, or a resonance lattice actually underlie it in nature. It says only that the continuum end point SRSM predicts is itself a coherent, buildable structure — a necessary, but far from sufficient, consistency check on the theory as a whole.</w:t>
      </w:r>
    </w:p>
    <w:p>
      <w:pPr>
        <w:pStyle w:val="Heading1"/>
        <w:pBdr>
          <w:bottom w:val="single" w:color="C9A84C" w:sz="8" w:space="4"/>
        </w:pBdr>
        <w:spacing w:after="200" w:before="400"/>
      </w:pPr>
      <w:r>
        <w:rPr>
          <w:rFonts w:ascii="Arial" w:cs="Arial" w:eastAsia="Arial" w:hAnsi="Arial"/>
          <w:b/>
          <w:bCs/>
          <w:color w:val="0B1F3A"/>
          <w:sz w:val="30"/>
          <w:szCs w:val="30"/>
        </w:rPr>
        <w:t xml:space="preserve">2. Recap: The Continuum Hydrodynamic Limit</w:t>
      </w:r>
    </w:p>
    <w:p>
      <w:pPr>
        <w:spacing w:after="200" w:before="0" w:line="288"/>
        <w:jc w:val="both"/>
      </w:pPr>
      <w:r>
        <w:rPr>
          <w:rFonts w:ascii="Palatino Linotype" w:cs="Palatino Linotype" w:eastAsia="Palatino Linotype" w:hAnsi="Palatino Linotype"/>
          <w:color w:val="1A1A1A"/>
          <w:sz w:val="22"/>
          <w:szCs w:val="22"/>
        </w:rPr>
        <w:t xml:space="preserve">From the Spectron density ρ(x,σ,τ) = (1/N)Σₐδ(x−λₐ) and its conjugate collective field Π, the collective Hamiltonian (Section 5.2 of the mechanics paper) is</w:t>
      </w:r>
    </w:p>
    <w:p>
      <w:pPr>
        <w:spacing w:after="200" w:before="100"/>
        <w:jc w:val="center"/>
      </w:pPr>
      <w:r>
        <w:rPr>
          <w:rFonts w:ascii="Cambria Math" w:cs="Cambria Math" w:eastAsia="Cambria Math" w:hAnsi="Cambria Math"/>
          <w:i/>
          <w:iCs/>
          <w:color w:val="1A1A1A"/>
          <w:sz w:val="22"/>
          <w:szCs w:val="22"/>
        </w:rPr>
        <w:t xml:space="preserve">H_coll = ∫ dx [ ½ ρ(∂ₓΠ)² + (π²/6)ρ³ + V_res(x)ρ ] + H_nonlocal.</w:t>
      </w:r>
    </w:p>
    <w:p>
      <w:pPr>
        <w:spacing w:after="200" w:before="0" w:line="288"/>
        <w:jc w:val="both"/>
      </w:pPr>
      <w:r>
        <w:rPr>
          <w:rFonts w:ascii="Palatino Linotype" w:cs="Palatino Linotype" w:eastAsia="Palatino Linotype" w:hAnsi="Palatino Linotype"/>
          <w:color w:val="1A1A1A"/>
          <w:sz w:val="22"/>
          <w:szCs w:val="22"/>
        </w:rPr>
        <w:t xml:space="preserve">Density fluctuations δρ = ρ − ρ₀ about the equilibrium density obey a free wave equation; identifying Xᴵ(σ,τ) = x₀ᴵ + (1/ρ₀)δρᴵ(σ,τ) reproduces the Polyakov kinetic term,</w:t>
      </w:r>
    </w:p>
    <w:p>
      <w:pPr>
        <w:spacing w:after="200" w:before="100"/>
        <w:jc w:val="center"/>
      </w:pPr>
      <w:r>
        <w:rPr>
          <w:rFonts w:ascii="Cambria Math" w:cs="Cambria Math" w:eastAsia="Cambria Math" w:hAnsi="Cambria Math"/>
          <w:i/>
          <w:iCs/>
          <w:color w:val="1A1A1A"/>
          <w:sz w:val="22"/>
          <w:szCs w:val="22"/>
        </w:rPr>
        <w:t xml:space="preserve">S_eff = (1/4πα’) ∫ dτ dσ [ (∂_τ Xᴵ)² − (∂_σ Xᴵ)² ] + O(α’).</w:t>
      </w:r>
    </w:p>
    <w:p>
      <w:pPr>
        <w:spacing w:after="200" w:before="0" w:line="288"/>
        <w:jc w:val="both"/>
      </w:pPr>
      <w:r>
        <w:rPr>
          <w:rFonts w:ascii="Palatino Linotype" w:cs="Palatino Linotype" w:eastAsia="Palatino Linotype" w:hAnsi="Palatino Linotype"/>
          <w:color w:val="1A1A1A"/>
          <w:sz w:val="22"/>
          <w:szCs w:val="22"/>
        </w:rPr>
        <w:t xml:space="preserve">SR-5 targets a tabletop realization of exactly this pair of equations — the free wave equation for δρ and, at higher fidelity, the cubic (π²/6)ρ³ hydrodynamic term that is the continuum remnant of Spectron repulsion.</w:t>
      </w:r>
    </w:p>
    <w:p>
      <w:pPr>
        <w:pStyle w:val="Heading1"/>
        <w:pBdr>
          <w:bottom w:val="single" w:color="C9A84C" w:sz="8" w:space="4"/>
        </w:pBdr>
        <w:spacing w:after="200" w:before="400"/>
      </w:pPr>
      <w:r>
        <w:rPr>
          <w:rFonts w:ascii="Arial" w:cs="Arial" w:eastAsia="Arial" w:hAnsi="Arial"/>
          <w:b/>
          <w:bCs/>
          <w:color w:val="0B1F3A"/>
          <w:sz w:val="30"/>
          <w:szCs w:val="30"/>
        </w:rPr>
        <w:t xml:space="preserve">3. The Photonic Mesh Platform</w:t>
      </w:r>
    </w:p>
    <w:p>
      <w:pPr>
        <w:pStyle w:val="Heading2"/>
        <w:spacing w:after="150" w:before="300"/>
      </w:pPr>
      <w:r>
        <w:rPr>
          <w:rFonts w:ascii="Arial" w:cs="Arial" w:eastAsia="Arial" w:hAnsi="Arial"/>
          <w:b/>
          <w:bCs/>
          <w:color w:val="0B1F3A"/>
          <w:sz w:val="24"/>
          <w:szCs w:val="24"/>
        </w:rPr>
        <w:t xml:space="preserve">3.1 Coupled-waveguide arrays</w:t>
      </w:r>
    </w:p>
    <w:p>
      <w:pPr>
        <w:spacing w:after="200" w:before="0" w:line="288"/>
        <w:jc w:val="both"/>
      </w:pPr>
      <w:r>
        <w:rPr>
          <w:rFonts w:ascii="Palatino Linotype" w:cs="Palatino Linotype" w:eastAsia="Palatino Linotype" w:hAnsi="Palatino Linotype"/>
          <w:color w:val="1A1A1A"/>
          <w:sz w:val="22"/>
          <w:szCs w:val="22"/>
        </w:rPr>
        <w:t xml:space="preserve">An array of closely spaced, single-mode optical waveguides — fabricated by femtosecond laser direct-writing in glass, or lithographically in silicon photonics — exhibits evanescent coupling between neighboring guides. Light amplitude aₙ(z) in guide n evolves along the propagation direction z according to the discrete coupled-mode (tight-binding) equation</w:t>
      </w:r>
    </w:p>
    <w:p>
      <w:pPr>
        <w:spacing w:after="200" w:before="100"/>
        <w:jc w:val="center"/>
      </w:pPr>
      <w:r>
        <w:rPr>
          <w:rFonts w:ascii="Cambria Math" w:cs="Cambria Math" w:eastAsia="Cambria Math" w:hAnsi="Cambria Math"/>
          <w:i/>
          <w:iCs/>
          <w:color w:val="1A1A1A"/>
          <w:sz w:val="22"/>
          <w:szCs w:val="22"/>
        </w:rPr>
        <w:t xml:space="preserve">i ∂_z aₙ = −κ (a_{n+1} + a_{n−1}) + βₙ aₙ,</w:t>
      </w:r>
    </w:p>
    <w:p>
      <w:pPr>
        <w:spacing w:after="200" w:before="0" w:line="288"/>
        <w:jc w:val="both"/>
      </w:pPr>
      <w:r>
        <w:rPr>
          <w:rFonts w:ascii="Palatino Linotype" w:cs="Palatino Linotype" w:eastAsia="Palatino Linotype" w:hAnsi="Palatino Linotype"/>
          <w:color w:val="1A1A1A"/>
          <w:sz w:val="22"/>
          <w:szCs w:val="22"/>
        </w:rPr>
        <w:t xml:space="preserve">with κ the nearest-neighbor coupling and βₙ the propagation constant of guide n. This is the direct photonic analogue of a discrete Schrödinger equation, with z playing the role of time.</w:t>
      </w:r>
    </w:p>
    <w:p>
      <w:pPr>
        <w:pStyle w:val="Heading2"/>
        <w:spacing w:after="150" w:before="300"/>
      </w:pPr>
      <w:r>
        <w:rPr>
          <w:rFonts w:ascii="Arial" w:cs="Arial" w:eastAsia="Arial" w:hAnsi="Arial"/>
          <w:b/>
          <w:bCs/>
          <w:color w:val="0B1F3A"/>
          <w:sz w:val="24"/>
          <w:szCs w:val="24"/>
        </w:rPr>
        <w:t xml:space="preserve">3.2 Continuum limit</w:t>
      </w:r>
    </w:p>
    <w:p>
      <w:pPr>
        <w:spacing w:after="200" w:before="0" w:line="288"/>
        <w:jc w:val="both"/>
      </w:pPr>
      <w:r>
        <w:rPr>
          <w:rFonts w:ascii="Palatino Linotype" w:cs="Palatino Linotype" w:eastAsia="Palatino Linotype" w:hAnsi="Palatino Linotype"/>
          <w:color w:val="1A1A1A"/>
          <w:sz w:val="22"/>
          <w:szCs w:val="22"/>
        </w:rPr>
        <w:t xml:space="preserve">For a dense array with slowly varying envelope across many guides, the discrete coupled-mode equation passes to the continuum paraxial wave equation for the envelope A(x,z),</w:t>
      </w:r>
    </w:p>
    <w:p>
      <w:pPr>
        <w:spacing w:after="200" w:before="100"/>
        <w:jc w:val="center"/>
      </w:pPr>
      <w:r>
        <w:rPr>
          <w:rFonts w:ascii="Cambria Math" w:cs="Cambria Math" w:eastAsia="Cambria Math" w:hAnsi="Cambria Math"/>
          <w:i/>
          <w:iCs/>
          <w:color w:val="1A1A1A"/>
          <w:sz w:val="22"/>
          <w:szCs w:val="22"/>
        </w:rPr>
        <w:t xml:space="preserve">i ∂_z A = −(1/2k) ∂ₓ² A,</w:t>
      </w:r>
    </w:p>
    <w:p>
      <w:pPr>
        <w:spacing w:after="200" w:before="0" w:line="288"/>
        <w:jc w:val="both"/>
      </w:pPr>
      <w:r>
        <w:rPr>
          <w:rFonts w:ascii="Palatino Linotype" w:cs="Palatino Linotype" w:eastAsia="Palatino Linotype" w:hAnsi="Palatino Linotype"/>
          <w:color w:val="1A1A1A"/>
          <w:sz w:val="22"/>
          <w:szCs w:val="22"/>
        </w:rPr>
        <w:t xml:space="preserve">structurally the same free-wave/diffusion-type equation obtained for δρ in Section 2 above, under the identification of propagation distance z with worldsheet time τ and transverse position x with worldsheet coordinate σ.</w:t>
      </w:r>
    </w:p>
    <w:p>
      <w:pPr>
        <w:pStyle w:val="Heading2"/>
        <w:spacing w:after="150" w:before="300"/>
      </w:pPr>
      <w:r>
        <w:rPr>
          <w:rFonts w:ascii="Arial" w:cs="Arial" w:eastAsia="Arial" w:hAnsi="Arial"/>
          <w:b/>
          <w:bCs/>
          <w:color w:val="0B1F3A"/>
          <w:sz w:val="24"/>
          <w:szCs w:val="24"/>
        </w:rPr>
        <w:t xml:space="preserve">3.3 Nonlinear extension</w:t>
      </w:r>
    </w:p>
    <w:p>
      <w:pPr>
        <w:spacing w:after="200" w:before="0" w:line="288"/>
        <w:jc w:val="both"/>
      </w:pPr>
      <w:r>
        <w:rPr>
          <w:rFonts w:ascii="Palatino Linotype" w:cs="Palatino Linotype" w:eastAsia="Palatino Linotype" w:hAnsi="Palatino Linotype"/>
          <w:color w:val="1A1A1A"/>
          <w:sz w:val="22"/>
          <w:szCs w:val="22"/>
        </w:rPr>
        <w:t xml:space="preserve">Waveguide arrays fabricated in Kerr-nonlinear media (e.g. AlGaAs, chalcogenide glass) exhibit an intensity-dependent refractive index, adding a term proportional to |A|²A to the propagation equation. This is the natural photonic route toward the cubic (π²/6)ρ³ term of the collective Hamiltonian, though the precise coefficient and sign matching required for a faithful SRSM correspondence has not been derived and is flagged as an open calculation.</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Photonic Mesh Lattice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Photonic-lattice realization</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time τ</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Propagation distance z</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Standard photonic-simulation identification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Worldsheet coordinate σ</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Transverse waveguide position x</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Continuum limit of guide index 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Density fluctuation δρᴵ (→ Xᴵ)</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Guided light amplitude envelope A(x,z)</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Directly imaged via output facet intensity</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Free wave equation, Section 5.2</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Paraxial diffraction equation</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Exact structural match</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Cubic hydrodynamic term (π²/6)ρ³</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Kerr-nonlinear |A|²A term</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Coefficient matching not yet derived</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Spectron discreteness, Vandermonde repulsion</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Not realized</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Out of scope — platform is continuum-only</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 lattice, coherence sector</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Not realized</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Out of scope — see SR-1/SR-3/SR-4</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Predicted Observables and Signatures</w:t>
      </w:r>
    </w:p>
    <w:p>
      <w:pPr>
        <w:pStyle w:val="Heading2"/>
        <w:spacing w:after="150" w:before="300"/>
      </w:pPr>
      <w:r>
        <w:rPr>
          <w:rFonts w:ascii="Arial" w:cs="Arial" w:eastAsia="Arial" w:hAnsi="Arial"/>
          <w:b/>
          <w:bCs/>
          <w:color w:val="0B1F3A"/>
          <w:sz w:val="24"/>
          <w:szCs w:val="24"/>
        </w:rPr>
        <w:t xml:space="preserve">5.1 Linear dispersion confirmation</w:t>
      </w:r>
    </w:p>
    <w:p>
      <w:pPr>
        <w:spacing w:after="200" w:before="0" w:line="288"/>
        <w:jc w:val="both"/>
      </w:pPr>
      <w:r>
        <w:rPr>
          <w:rFonts w:ascii="Palatino Linotype" w:cs="Palatino Linotype" w:eastAsia="Palatino Linotype" w:hAnsi="Palatino Linotype"/>
          <w:color w:val="1A1A1A"/>
          <w:sz w:val="22"/>
          <w:szCs w:val="22"/>
        </w:rPr>
        <w:t xml:space="preserve">Output-facet intensity profiles as a function of input condition and array length should confirm diffraction-limited spreading consistent with the linear wave equation of Section 3.2, establishing the baseline correspondence to the free δρ fluctuation equation before any nonlinear extension is attempted.</w:t>
      </w:r>
    </w:p>
    <w:p>
      <w:pPr>
        <w:pStyle w:val="Heading2"/>
        <w:spacing w:after="150" w:before="300"/>
      </w:pPr>
      <w:r>
        <w:rPr>
          <w:rFonts w:ascii="Arial" w:cs="Arial" w:eastAsia="Arial" w:hAnsi="Arial"/>
          <w:b/>
          <w:bCs/>
          <w:color w:val="0B1F3A"/>
          <w:sz w:val="24"/>
          <w:szCs w:val="24"/>
        </w:rPr>
        <w:t xml:space="preserve">5.2 Cubic-term signature in nonlinear arrays</w:t>
      </w:r>
    </w:p>
    <w:p>
      <w:pPr>
        <w:spacing w:after="200" w:before="0" w:line="288"/>
        <w:jc w:val="both"/>
      </w:pPr>
      <w:r>
        <w:rPr>
          <w:rFonts w:ascii="Palatino Linotype" w:cs="Palatino Linotype" w:eastAsia="Palatino Linotype" w:hAnsi="Palatino Linotype"/>
          <w:color w:val="1A1A1A"/>
          <w:sz w:val="22"/>
          <w:szCs w:val="22"/>
        </w:rPr>
        <w:t xml:space="preserve">In Kerr-nonlinear waveguide arrays, intensity-dependent self-focusing or discrete-soliton formation is a known, well-characterized phenomenon; SR-5 proposes comparing measured soliton thresholds and profiles against the cubic term of H_coll as a first (qualitative) test of whether the hydrodynamic remnant of Spectron repulsion has the correct functional form, pending the coefficient-matching calculation flagged in Section 3.3.</w:t>
      </w:r>
    </w:p>
    <w:p>
      <w:pPr>
        <w:pStyle w:val="Heading2"/>
        <w:spacing w:after="150" w:before="300"/>
      </w:pPr>
      <w:r>
        <w:rPr>
          <w:rFonts w:ascii="Arial" w:cs="Arial" w:eastAsia="Arial" w:hAnsi="Arial"/>
          <w:b/>
          <w:bCs/>
          <w:color w:val="0B1F3A"/>
          <w:sz w:val="24"/>
          <w:szCs w:val="24"/>
        </w:rPr>
        <w:t xml:space="preserve">5.3 Boundary-condition sectors</w:t>
      </w:r>
    </w:p>
    <w:p>
      <w:pPr>
        <w:spacing w:after="200" w:before="0" w:line="288"/>
        <w:jc w:val="both"/>
      </w:pPr>
      <w:r>
        <w:rPr>
          <w:rFonts w:ascii="Palatino Linotype" w:cs="Palatino Linotype" w:eastAsia="Palatino Linotype" w:hAnsi="Palatino Linotype"/>
          <w:color w:val="1A1A1A"/>
          <w:sz w:val="22"/>
          <w:szCs w:val="22"/>
        </w:rPr>
        <w:t xml:space="preserve">Terminating the waveguide array with reflective versus absorbing boundaries, or wrapping it into a closed ring geometry, allows direct photonic analogues of open-string (Neumann/Dirichlet) versus closed-string (periodic) worldsheet boundary conditions (Section 4 of the mechanics paper), offering a qualitative visual check of how boundary sector affects the emergent field's mode structure.</w:t>
      </w:r>
    </w:p>
    <w:p>
      <w:pPr>
        <w:pStyle w:val="Heading1"/>
        <w:pBdr>
          <w:bottom w:val="single" w:color="C9A84C" w:sz="8" w:space="4"/>
        </w:pBdr>
        <w:spacing w:after="200" w:before="400"/>
      </w:pPr>
      <w:r>
        <w:rPr>
          <w:rFonts w:ascii="Arial" w:cs="Arial" w:eastAsia="Arial" w:hAnsi="Arial"/>
          <w:b/>
          <w:bCs/>
          <w:color w:val="0B1F3A"/>
          <w:sz w:val="30"/>
          <w:szCs w:val="30"/>
        </w:rPr>
        <w:t xml:space="preserve">6. Staged Experimental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SR-5a — Linear baseline: fabricate a passive, linear waveguide array and confirm paraxial diffraction matching the free wave equation of Section 3.2 / Section 2 above.</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SR-5b — Nonlinear extension: fabricate a Kerr-nonlinear array and characterize discrete-soliton formation as a function of input power, as a qualitative probe of the cubic hydrodynamic term (Section 5.2).</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SR-5c — Boundary-sector comparison: compare open- versus closed-geometry arrays for qualitative correspondence to open- and closed-string boundary conditions (Section 5.3).</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SR-5d — Coefficient matching (theoretical, precedes further experiment): derive the precise correspondence between Kerr-nonlinearity coefficients and the (π²/6) coefficient of H_coll, needed before SR-5b results can be read as quantitative rather than qualitative confirmation.</w:t>
      </w:r>
    </w:p>
    <w:p>
      <w:pPr>
        <w:pStyle w:val="Heading1"/>
        <w:pBdr>
          <w:bottom w:val="single" w:color="C9A84C" w:sz="8" w:space="4"/>
        </w:pBdr>
        <w:spacing w:after="200" w:before="400"/>
      </w:pPr>
      <w:r>
        <w:rPr>
          <w:rFonts w:ascii="Arial" w:cs="Arial" w:eastAsia="Arial" w:hAnsi="Arial"/>
          <w:b/>
          <w:bCs/>
          <w:color w:val="0B1F3A"/>
          <w:sz w:val="30"/>
          <w:szCs w:val="30"/>
        </w:rPr>
        <w:t xml:space="preserve">7. Scope and Explicit Limitations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Purely classical: this platform simulates a classical field equation, not a quantized theory; it has no access to the BRST cohomology, Virasoro constraints, or central-charge structure of Sections 6–7 of the mechanics paper, and none is claimed.</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No microscopic content: unlike SR-1 through SR-4, there is no Spectron discreteness, Vandermonde repulsion, resonance lattice, or coherence sector in this platform at all — it begins already at the continuum end point SRSM derives, and cannot by itself test whether that end point genuinely arises from an underlying Spectron gas in nature.</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Coefficient matching outstanding: the qualitative structural match between Kerr nonlinearity and the cubic hydrodynamic term (Section 3.3) has not been derived quantitatively; SR-5b results should be read as suggestive, not confirmatory, until SR-5d is complete.</w:t>
      </w:r>
    </w:p>
    <w:p>
      <w:pPr>
        <w:pStyle w:val="Heading1"/>
        <w:pBdr>
          <w:bottom w:val="single" w:color="C9A84C" w:sz="8" w:space="4"/>
        </w:pBdr>
        <w:spacing w:after="200" w:before="400"/>
      </w:pPr>
      <w:r>
        <w:rPr>
          <w:rFonts w:ascii="Arial" w:cs="Arial" w:eastAsia="Arial" w:hAnsi="Arial"/>
          <w:b/>
          <w:bCs/>
          <w:color w:val="0B1F3A"/>
          <w:sz w:val="30"/>
          <w:szCs w:val="30"/>
        </w:rPr>
        <w:t xml:space="preserve">8. The Completed SR Series: Sectoral Coverage</w:t>
      </w:r>
    </w:p>
    <w:p>
      <w:pPr>
        <w:spacing w:after="200" w:before="0" w:line="288"/>
        <w:jc w:val="both"/>
      </w:pPr>
      <w:r>
        <w:rPr>
          <w:rFonts w:ascii="Palatino Linotype" w:cs="Palatino Linotype" w:eastAsia="Palatino Linotype" w:hAnsi="Palatino Linotype"/>
          <w:color w:val="1A1A1A"/>
          <w:sz w:val="22"/>
          <w:szCs w:val="22"/>
        </w:rPr>
        <w:t xml:space="preserve">With SR-5, the deployment series proposed alongside the Spectron formalism is complete. No single track constitutes a full test of SRSM; each isolates a different sector of the theory, chosen specifically so that a null result in one does not invalidate the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4700"/>
        <w:gridCol w:w="3100"/>
      </w:tblGrid>
      <w:tr>
        <w:trPr>
          <w:tblHeader/>
        </w:trPr>
        <w:tc>
          <w:tcPr>
            <w:tcW w:type="dxa" w:w="15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Track</w:t>
            </w:r>
          </w:p>
        </w:tc>
        <w:tc>
          <w:tcPr>
            <w:tcW w:type="dxa" w:w="47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sector targeted</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Maturity</w:t>
            </w:r>
          </w:p>
        </w:tc>
      </w:tr>
      <w:tr>
        <w:tc>
          <w:tcPr>
            <w:tcW w:type="dxa" w:w="15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SR-1</w:t>
            </w:r>
          </w:p>
        </w:tc>
        <w:tc>
          <w:tcPr>
            <w:tcW w:type="dxa" w:w="47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Full mechanical system: Calogero–Moser repulsion + resonance lattice + coherence (trapped ions)</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Near-term achievable (SR-1a/b)</w:t>
            </w:r>
          </w:p>
        </w:tc>
      </w:tr>
      <w:tr>
        <w:tc>
          <w:tcPr>
            <w:tcW w:type="dxa" w:w="15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SR-2</w:t>
            </w:r>
          </w:p>
        </w:tc>
        <w:tc>
          <w:tcPr>
            <w:tcW w:type="dxa" w:w="47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Static Vandermonde exponent β = 2 (chaotic spectra)</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Largely already measured</w:t>
            </w:r>
          </w:p>
        </w:tc>
      </w:tr>
      <w:tr>
        <w:tc>
          <w:tcPr>
            <w:tcW w:type="dxa" w:w="15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SR-3</w:t>
            </w:r>
          </w:p>
        </w:tc>
        <w:tc>
          <w:tcPr>
            <w:tcW w:type="dxa" w:w="47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Resonance-lattice confinement + coherence proxy (Josephson arrays)</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Native, mature platform</w:t>
            </w:r>
          </w:p>
        </w:tc>
      </w:tr>
      <w:tr>
        <w:tc>
          <w:tcPr>
            <w:tcW w:type="dxa" w:w="15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SR-4</w:t>
            </w:r>
          </w:p>
        </w:tc>
        <w:tc>
          <w:tcPr>
            <w:tcW w:type="dxa" w:w="47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Off-diagonal matrix structure, non-commutativity Θ^IJ (cold-atom SU(N))</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Existence-contingent / proposal-stage</w:t>
            </w:r>
          </w:p>
        </w:tc>
      </w:tr>
      <w:tr>
        <w:tc>
          <w:tcPr>
            <w:tcW w:type="dxa" w:w="15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SR-5</w:t>
            </w:r>
          </w:p>
        </w:tc>
        <w:tc>
          <w:tcPr>
            <w:tcW w:type="dxa" w:w="47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Continuum hydrodynamic limit, emergent wave equation (photonic mesh)</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Near-term achievable (SR-5a/b)</w:t>
            </w:r>
          </w:p>
        </w:tc>
      </w:tr>
    </w:tbl>
    <w:p>
      <w:pPr>
        <w:spacing w:after="200" w:before="0" w:line="288"/>
        <w:jc w:val="both"/>
      </w:pPr>
      <w:r>
        <w:rPr>
          <w:rFonts w:ascii="Palatino Linotype" w:cs="Palatino Linotype" w:eastAsia="Palatino Linotype" w:hAnsi="Palatino Linotype"/>
          <w:color w:val="1A1A1A"/>
          <w:sz w:val="22"/>
          <w:szCs w:val="22"/>
        </w:rPr>
        <w:t xml:space="preserve"/>
      </w:r>
    </w:p>
    <w:p>
      <w:pPr>
        <w:spacing w:after="200" w:before="100" w:line="288"/>
        <w:jc w:val="both"/>
      </w:pPr>
      <w:r>
        <w:rPr>
          <w:rFonts w:ascii="Palatino Linotype" w:cs="Palatino Linotype" w:eastAsia="Palatino Linotype" w:hAnsi="Palatino Linotype"/>
          <w:color w:val="1A1A1A"/>
          <w:sz w:val="22"/>
          <w:szCs w:val="22"/>
        </w:rPr>
        <w:t xml:space="preserve">Read together, SR-1 through SR-5 partition SRSM's claims across the discrete-to-continuum hierarchy of Section 2.4.7 of the mechanics paper: SR-2 and SR-3 address the two ingredients (repulsion, lattice) that SR-1 combines into a single dynamical system; SR-4 reaches for the matrix structure underlying all of them; SR-5 addresses the continuum output at the far end of that hierarchy. No existing or proposed platform yet closes the full loop from Spectron gas to Polyakov string in one system — that remains, as anticipated, a longer-horizon target beyond any single SR track.</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200" w:before="0" w:line="288"/>
        <w:jc w:val="both"/>
      </w:pPr>
      <w:r>
        <w:rPr>
          <w:rFonts w:ascii="Palatino Linotype" w:cs="Palatino Linotype" w:eastAsia="Palatino Linotype" w:hAnsi="Palatino Linotype"/>
          <w:color w:val="1A1A1A"/>
          <w:sz w:val="22"/>
          <w:szCs w:val="22"/>
        </w:rPr>
        <w:t xml:space="preserve">Photonic mesh lattices provide a mature, near-term-achievable classical analog of the continuum hydrodynamic limit SRSM assigns to the large-N Spectron gas, with the free wave equation an exact structural match and the cubic repulsion remnant a plausible, if not yet quantitatively derived, target for nonlinear waveguide engineering. As the fifth and final entry in the SR series, this note completes a set of five deployment tracks that together span SRSM's claims from discrete Spectron repulsion (SR-2) and resonance-lattice locking (SR-1, SR-3) through matrix-level coherence (SR-4) to the emergent continuum field theory (SR-5) — no one of which is sufficient on its own, and each of which is independently falsifiable.</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D. N. Christodoulides, F. Lederer, and Y. Silberberg, “Discretizing Light Behaviour in Linear and Nonlinear Waveguide Lattices,” Nature 424, 817 (2003).</w:t>
      </w:r>
    </w:p>
    <w:p>
      <w:pPr>
        <w:spacing w:after="100" w:before="0" w:line="288"/>
        <w:jc w:val="left"/>
      </w:pPr>
      <w:r>
        <w:rPr>
          <w:rFonts w:ascii="Palatino Linotype" w:cs="Palatino Linotype" w:eastAsia="Palatino Linotype" w:hAnsi="Palatino Linotype"/>
          <w:color w:val="1A1A1A"/>
          <w:sz w:val="22"/>
          <w:szCs w:val="22"/>
        </w:rPr>
        <w:t xml:space="preserve">[3] A. Szameit and S. Nolte, “Discrete Optics in Femtosecond-Laser-Written Photonic Structures,” J. Phys. B 43, 163001 (2010).</w:t>
      </w:r>
    </w:p>
    <w:p>
      <w:pPr>
        <w:spacing w:after="100" w:before="0" w:line="288"/>
        <w:jc w:val="left"/>
      </w:pPr>
      <w:r>
        <w:rPr>
          <w:rFonts w:ascii="Palatino Linotype" w:cs="Palatino Linotype" w:eastAsia="Palatino Linotype" w:hAnsi="Palatino Linotype"/>
          <w:color w:val="1A1A1A"/>
          <w:sz w:val="22"/>
          <w:szCs w:val="22"/>
        </w:rPr>
        <w:t xml:space="preserve">[4] S. Longhi, “Quantum-Optical Analogies Using Photonic Structures,” Laser &amp; Photonics Reviews 3, 243 (2009).</w:t>
      </w:r>
    </w:p>
    <w:p>
      <w:pPr>
        <w:spacing w:after="100" w:before="0" w:line="288"/>
        <w:jc w:val="left"/>
      </w:pPr>
      <w:r>
        <w:rPr>
          <w:rFonts w:ascii="Palatino Linotype" w:cs="Palatino Linotype" w:eastAsia="Palatino Linotype" w:hAnsi="Palatino Linotype"/>
          <w:color w:val="1A1A1A"/>
          <w:sz w:val="22"/>
          <w:szCs w:val="22"/>
        </w:rPr>
        <w:t xml:space="preserve">[5] F. Lederer et al., “Discrete Solitons in Optics,” Physics Reports 463, 1 (2008).</w:t>
      </w:r>
    </w:p>
    <w:p>
      <w:pPr>
        <w:spacing w:after="100" w:before="0" w:line="288"/>
        <w:jc w:val="left"/>
      </w:pPr>
      <w:r>
        <w:rPr>
          <w:rFonts w:ascii="Palatino Linotype" w:cs="Palatino Linotype" w:eastAsia="Palatino Linotype" w:hAnsi="Palatino Linotype"/>
          <w:color w:val="1A1A1A"/>
          <w:sz w:val="22"/>
          <w:szCs w:val="22"/>
        </w:rPr>
        <w:t xml:space="preserve">[6] SR-1 through SR-4 Deployment Notes, Preprints SR-2026-001 through SR-2026-004,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SR-5 — Deployment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2026-08-11T08:04:12.744Z</dcterms:created>
  <dcterms:modified xsi:type="dcterms:W3CDTF">2026-08-11T08:04:12.758Z</dcterms:modified>
</cp:coreProperties>
</file>

<file path=docProps/custom.xml><?xml version="1.0" encoding="utf-8"?>
<Properties xmlns="http://schemas.openxmlformats.org/officeDocument/2006/custom-properties" xmlns:vt="http://schemas.openxmlformats.org/officeDocument/2006/docPropsVTypes"/>
</file>