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B8922B"/>
          <w:sz w:val="20"/>
          <w:szCs w:val="20"/>
        </w:rPr>
        <w:t xml:space="preserve">Phase Mechanics — Deployment Note PM-6</w:t>
      </w:r>
    </w:p>
    <w:p>
      <w:pPr>
        <w:spacing w:after="240"/>
        <w:jc w:val="center"/>
      </w:pPr>
      <w:r>
        <w:rPr>
          <w:rFonts w:ascii="Arial" w:cs="Arial" w:eastAsia="Arial" w:hAnsi="Arial"/>
          <w:b/>
          <w:bCs/>
          <w:color w:val="1B2A4A"/>
          <w:sz w:val="34"/>
          <w:szCs w:val="34"/>
        </w:rPr>
        <w:t xml:space="preserve">Cold-Atom Bose–Einstein Condensates as an Engineerable Probe of the Phase Substrate</w:t>
      </w:r>
    </w:p>
    <w:p>
      <w:pPr>
        <w:spacing w:after="60"/>
        <w:jc w:val="center"/>
      </w:pPr>
      <w:r>
        <w:rPr>
          <w:rFonts w:ascii="Arial" w:cs="Arial" w:eastAsia="Arial" w:hAnsi="Arial"/>
          <w:sz w:val="22"/>
          <w:szCs w:val="22"/>
        </w:rPr>
        <w:t xml:space="preserve">Marlon Hanks</w:t>
      </w:r>
    </w:p>
    <w:p>
      <w:pPr>
        <w:spacing w:after="60"/>
        <w:jc w:val="center"/>
      </w:pPr>
      <w:r>
        <w:rPr>
          <w:rFonts w:ascii="Arial" w:cs="Arial" w:eastAsia="Arial" w:hAnsi="Arial"/>
          <w:color w:val="555555"/>
          <w:sz w:val="20"/>
          <w:szCs w:val="20"/>
        </w:rPr>
        <w:t xml:space="preserve">July 26, 2026</w:t>
      </w:r>
    </w:p>
    <w:p>
      <w:pPr>
        <w:spacing w:after="300"/>
        <w:jc w:val="center"/>
      </w:pPr>
      <w:r>
        <w:rPr>
          <w:rFonts w:ascii="Arial" w:cs="Arial" w:eastAsia="Arial" w:hAnsi="Arial"/>
          <w:i/>
          <w:iCs/>
          <w:color w:val="666666"/>
          <w:sz w:val="16"/>
          <w:szCs w:val="16"/>
        </w:rPr>
        <w:t xml:space="preserve">Subject area: Phase Mechanics (PM series)  •  Keywords: phase substrate, Bose–Einstein condensate, Gross–Pitaevskii, phase imprinting, matter-wave interferometry, dark soliton, bosonic Josephson junction, falsifiability</w:t>
      </w:r>
    </w:p>
    <w:p>
      <w:pPr>
        <w:spacing w:after="300"/>
        <w:jc w:val="center"/>
      </w:pPr>
      <w:r>
        <w:rPr>
          <w:rFonts w:ascii="Arial" w:cs="Arial" w:eastAsia="Arial" w:hAnsi="Arial"/>
          <w:i/>
          <w:iCs/>
          <w:color w:val="888888"/>
          <w:sz w:val="16"/>
          <w:szCs w:val="16"/>
        </w:rPr>
        <w:t xml:space="preserve">Deployment note. Independent of Phase Theory’s core foundational program. Under review.</w:t>
      </w:r>
    </w:p>
    <w:p>
      <w:pPr>
        <w:pStyle w:val="Heading2"/>
        <w:spacing w:after="140" w:before="260"/>
      </w:pPr>
      <w:r>
        <w:rPr>
          <w:rFonts w:ascii="Arial" w:cs="Arial" w:eastAsia="Arial" w:hAnsi="Arial"/>
          <w:b/>
          <w:bCs/>
          <w:color w:val="1B2A4A"/>
          <w:sz w:val="22"/>
          <w:szCs w:val="22"/>
        </w:rPr>
        <w:t xml:space="preserve">Abstract</w:t>
      </w:r>
    </w:p>
    <w:p>
      <w:pPr>
        <w:spacing w:after="200" w:line="276"/>
        <w:jc w:val="both"/>
      </w:pPr>
      <w:r>
        <w:rPr>
          <w:rFonts w:ascii="Palatino Linotype" w:cs="Palatino Linotype" w:eastAsia="Palatino Linotype" w:hAnsi="Palatino Linotype"/>
          <w:sz w:val="22"/>
          <w:szCs w:val="22"/>
        </w:rPr>
        <w:t xml:space="preserve">Cold-atom Bose–Einstein condensates (BECs) are the one candidate in this note series where the order-parameter phase is not merely measured but directly engineered: an external laser can imprint an arbitrary, controlled phase profile onto the condensate wavefunction on demand, and the relative phase between two condensates can be read out directly, in a single image, as the position of matter-wave interference fringes. This combination — controllable preparation and direct phase readout in the same system — is not available in any of the four candidates addressed in PM-2 through PM-5. This note reviews the established Gross–Pitaevskii description of the BEC order parameter, the phase-imprinting technique, direct matter-wave interferometric phase readout, and two well-characterized topological/coherent phenomena — vortex nucleation and dark-soliton decay via the snake instability, and bosonic Josephson oscillations in a double-well trap — states the correspondence to the Phase Mechanics phaset, and identifies two falsifiable predictions where the phaset formalism’s topological-sector structure departs from the standard mean-field (Gross–Pitaevskii and two-mode) treatments. Both are testable with standard absorption imaging and interferometry on existing cold-atom apparatus.</w:t>
      </w:r>
    </w:p>
    <w:p>
      <w:pPr>
        <w:pStyle w:val="Heading1"/>
        <w:pBdr>
          <w:bottom w:val="single" w:color="B8922B" w:sz="6" w:space="4"/>
        </w:pBdr>
        <w:spacing w:after="200" w:before="400"/>
      </w:pPr>
      <w:r>
        <w:rPr>
          <w:rFonts w:ascii="Arial" w:cs="Arial" w:eastAsia="Arial" w:hAnsi="Arial"/>
          <w:b/>
          <w:bCs/>
          <w:color w:val="1B2A4A"/>
          <w:sz w:val="26"/>
          <w:szCs w:val="26"/>
        </w:rPr>
        <w:t xml:space="preserve">I. Introduction</w:t>
      </w:r>
    </w:p>
    <w:p>
      <w:pPr>
        <w:spacing w:after="200" w:line="276"/>
        <w:jc w:val="both"/>
      </w:pPr>
      <w:r>
        <w:rPr>
          <w:rFonts w:ascii="Palatino Linotype" w:cs="Palatino Linotype" w:eastAsia="Palatino Linotype" w:hAnsi="Palatino Linotype"/>
          <w:sz w:val="22"/>
          <w:szCs w:val="22"/>
        </w:rPr>
        <w:t xml:space="preserve">The four candidates addressed so far in this series — laboratory double-layer plasmas (PM-2), charge-density-wave phasons and amplitudons (PM-3), Josephson-junction phase (PM-4), and quantized helium vortices (PM-5) — are all systems in which the phase substrate’s candidate realization is prepared by the experiment’s natural dynamics and then measured, with no direct external handle on the phase itself. Cold-atom BECs break this pattern. Since the mid-1990s, ultracold-atom experiments have had the ability to imprint a chosen phase profile onto a condensate using off-resonant light shifts, and to read out the relative phase between two condensates directly as an interference pattern upon overlap — first demonstrated by Andrews et al. in 1997, who observed high-contrast matter-wave interference fringes between two independently prepared sodium condensates, providing direct visual evidence that each condensate carries a well-defined macroscopic phase.</w:t>
      </w:r>
    </w:p>
    <w:p>
      <w:pPr>
        <w:spacing w:after="200" w:line="276"/>
        <w:jc w:val="both"/>
      </w:pPr>
      <w:r>
        <w:rPr>
          <w:rFonts w:ascii="Palatino Linotype" w:cs="Palatino Linotype" w:eastAsia="Palatino Linotype" w:hAnsi="Palatino Linotype"/>
          <w:sz w:val="22"/>
          <w:szCs w:val="22"/>
        </w:rPr>
        <w:t xml:space="preserve">This makes cold-atom BECs the most experimentally flexible candidate in the series: coherence amplitude (via atom number and interaction strength, itself tunable via Feshbach resonances), phase (via imprinting), and trap geometry (via optical lattices and engineered double-well potentials) are all independently controllable in the same apparatus. The task of this note is to specify what a Phase Mechanics correspondence adds on top of the already precise, numerically exact (in the mean-field limit) Gross–Pitaevskii description of this system.</w:t>
      </w:r>
    </w:p>
    <w:p>
      <w:pPr>
        <w:pStyle w:val="Heading1"/>
        <w:pBdr>
          <w:bottom w:val="single" w:color="B8922B" w:sz="6" w:space="4"/>
        </w:pBdr>
        <w:spacing w:after="200" w:before="400"/>
      </w:pPr>
      <w:r>
        <w:rPr>
          <w:rFonts w:ascii="Arial" w:cs="Arial" w:eastAsia="Arial" w:hAnsi="Arial"/>
          <w:b/>
          <w:bCs/>
          <w:color w:val="1B2A4A"/>
          <w:sz w:val="26"/>
          <w:szCs w:val="26"/>
        </w:rPr>
        <w:t xml:space="preserve">II. The BEC Order Parameter and Direct Phase Control: Established Phenomenology</w:t>
      </w:r>
    </w:p>
    <w:p>
      <w:pPr>
        <w:spacing w:after="200" w:line="276"/>
        <w:jc w:val="both"/>
      </w:pPr>
      <w:r>
        <w:rPr>
          <w:rFonts w:ascii="Palatino Linotype" w:cs="Palatino Linotype" w:eastAsia="Palatino Linotype" w:hAnsi="Palatino Linotype"/>
          <w:sz w:val="22"/>
          <w:szCs w:val="22"/>
        </w:rPr>
        <w:t xml:space="preserve">A weakly interacting BEC is described, in the mean-field limit, by a single macroscopic wavefunction ψ(r,t) = √n(r,t)·e^{iθ(r,t)}, obeying the Gross–Pitaevskii equation (GPE) — a nonlinear Schrödinger equation incorporating the trapping potential and the mean-field interaction energy set by the s-wave scattering length. Unlike the CDW and helium cases, where the order parameter is inferred from transport, spectroscopy, or optical imaging of a proxy (density, current, trapped charge), the BEC phase θ can be manipulated directly: shining an off-resonant laser beam on one half of the condensate for a controlled pulse duration imprints a spatially varying phase shift proportional to the local light intensity and exposure time, with no accompanying density change if the pulse is short compared to the condensate’s response time. This phase-imprinting technique is the standard method used to create dark solitons on demand.</w:t>
      </w:r>
    </w:p>
    <w:p>
      <w:pPr>
        <w:spacing w:after="200" w:line="276"/>
        <w:jc w:val="both"/>
      </w:pPr>
      <w:r>
        <w:rPr>
          <w:rFonts w:ascii="Palatino Linotype" w:cs="Palatino Linotype" w:eastAsia="Palatino Linotype" w:hAnsi="Palatino Linotype"/>
          <w:sz w:val="22"/>
          <w:szCs w:val="22"/>
        </w:rPr>
        <w:t xml:space="preserve">Direct phase readout is equally well established. When two condensates, prepared independently or split from a single condensate, are released and allowed to overlap during time-of-flight expansion, the resulting atomic density shows a high-contrast interference pattern whose fringe spacing and position directly encode the relative phase and any relative velocity between the two condensates. This matter-wave interferometry is now a standard cold-atom diagnostic, used routinely in precision-measurement and atom-interferometer applications, in addition to fundamental studies of condensate coherence.</w:t>
      </w:r>
    </w:p>
    <w:p>
      <w:pPr>
        <w:spacing w:after="200" w:line="276"/>
        <w:jc w:val="both"/>
      </w:pPr>
      <w:r>
        <w:rPr>
          <w:rFonts w:ascii="Palatino Linotype" w:cs="Palatino Linotype" w:eastAsia="Palatino Linotype" w:hAnsi="Palatino Linotype"/>
          <w:sz w:val="22"/>
          <w:szCs w:val="22"/>
        </w:rPr>
        <w:t xml:space="preserve">BECs also support quantized vortices, nucleated by stirring the trap with a rotating laser beam, exactly as a rotating bucket nucleates vortices in He-II (PM-5). The key experimental distinction is scale: a BEC vortex core has a healing length of hundreds of nanometers to microns, large enough to be directly optically resolved in absorption imaging after time-of-flight expansion — unlike the Ångström-scale core in He-II, which can only be imaged indirectly via trapped tracers or ions. Triangular Abrikosov-like vortex lattices containing over a hundred individually resolved vortices have been directly imaged in rotating BECs.</w:t>
      </w:r>
    </w:p>
    <w:p>
      <w:pPr>
        <w:pStyle w:val="Heading1"/>
        <w:pBdr>
          <w:bottom w:val="single" w:color="B8922B" w:sz="6" w:space="4"/>
        </w:pBdr>
        <w:spacing w:after="200" w:before="400"/>
      </w:pPr>
      <w:r>
        <w:rPr>
          <w:rFonts w:ascii="Arial" w:cs="Arial" w:eastAsia="Arial" w:hAnsi="Arial"/>
          <w:b/>
          <w:bCs/>
          <w:color w:val="1B2A4A"/>
          <w:sz w:val="26"/>
          <w:szCs w:val="26"/>
        </w:rPr>
        <w:t xml:space="preserve">III. Dark Solitons and the Snake Instability</w:t>
      </w:r>
    </w:p>
    <w:p>
      <w:pPr>
        <w:spacing w:after="200" w:line="276"/>
        <w:jc w:val="both"/>
      </w:pPr>
      <w:r>
        <w:rPr>
          <w:rFonts w:ascii="Palatino Linotype" w:cs="Palatino Linotype" w:eastAsia="Palatino Linotype" w:hAnsi="Palatino Linotype"/>
          <w:sz w:val="22"/>
          <w:szCs w:val="22"/>
        </w:rPr>
        <w:t xml:space="preserve">A phase-imprinted step of π across a condensate creates a dark soliton: a localized density notch with a sign change in ψ across it, stationary or moving depending on the imprinted phase gradient. In a quasi-one-dimensional (elongated) trap, dark solitons are long-lived and directly imaged as density dips propagating through the cloud. In a wider, quasi-two- or three-dimensional trap, however, a dark soliton is dynamically unstable to transverse perturbations — the snake instability — and decays into a chain of vortex–antivortex pairs (in 2D) or vortex rings (in 3D), a process directly imaged by Anderson et al. and Dutton et al. in the early 2000s, with the observed instability growth rate matching Bogoliubov (linearized fluctuation) theory applied to the Gross–Pitaevskii background.</w:t>
      </w:r>
    </w:p>
    <w:p>
      <w:pPr>
        <w:spacing w:after="200" w:line="276"/>
        <w:jc w:val="both"/>
      </w:pPr>
      <w:r>
        <w:rPr>
          <w:rFonts w:ascii="Palatino Linotype" w:cs="Palatino Linotype" w:eastAsia="Palatino Linotype" w:hAnsi="Palatino Linotype"/>
          <w:sz w:val="22"/>
          <w:szCs w:val="22"/>
        </w:rPr>
        <w:t xml:space="preserve">This decay is a genuine topological event: a featureless (topologically trivial) soliton converts into a pair of oppositely-signed vortices, each carrying a unit of quantized circulation, with total topological charge conserved at zero. It is the BEC analogue of the reconnection event in PM-5 and the phase slip in PM-3 and PM-4 — a discrete, countable, topology-changing transition in the order-parameter phase field, in a system where every stage of the process, including the initial phase-imprint that creates the soliton, is under direct external control.</w:t>
      </w:r>
    </w:p>
    <w:p>
      <w:pPr>
        <w:pStyle w:val="Heading1"/>
        <w:pBdr>
          <w:bottom w:val="single" w:color="B8922B" w:sz="6" w:space="4"/>
        </w:pBdr>
        <w:spacing w:after="200" w:before="400"/>
      </w:pPr>
      <w:r>
        <w:rPr>
          <w:rFonts w:ascii="Arial" w:cs="Arial" w:eastAsia="Arial" w:hAnsi="Arial"/>
          <w:b/>
          <w:bCs/>
          <w:color w:val="1B2A4A"/>
          <w:sz w:val="26"/>
          <w:szCs w:val="26"/>
        </w:rPr>
        <w:t xml:space="preserve">IV. Bosonic Josephson Oscillations</w:t>
      </w:r>
    </w:p>
    <w:p>
      <w:pPr>
        <w:spacing w:after="200" w:line="276"/>
        <w:jc w:val="both"/>
      </w:pPr>
      <w:r>
        <w:rPr>
          <w:rFonts w:ascii="Palatino Linotype" w:cs="Palatino Linotype" w:eastAsia="Palatino Linotype" w:hAnsi="Palatino Linotype"/>
          <w:sz w:val="22"/>
          <w:szCs w:val="22"/>
        </w:rPr>
        <w:t xml:space="preserve">Two BECs coupled through a tunneling barrier in a double-well trap form a bosonic Josephson junction, directly analogous to the superconducting Josephson junction of PM-4 but with two features solid-state junctions lack: the particle number on each side is discrete and individually countable (via absorption imaging), and the interaction strength between atoms on the same side is independently tunable. The relative phase and population imbalance between the two wells undergo Josephson-like oscillations, or, above a critical imbalance, macroscopic quantum self-trapping, both directly observed by Albiez et al. (2005) and by Levy et al. (2007), with oscillation periods and self-trapping thresholds matching the two-mode (Bose–Hubbard-reduced) model to good quantitative precision.</w:t>
      </w:r>
    </w:p>
    <w:p>
      <w:pPr>
        <w:pStyle w:val="Heading1"/>
        <w:pBdr>
          <w:bottom w:val="single" w:color="B8922B" w:sz="6" w:space="4"/>
        </w:pBdr>
        <w:spacing w:after="200" w:before="400"/>
      </w:pPr>
      <w:r>
        <w:rPr>
          <w:rFonts w:ascii="Arial" w:cs="Arial" w:eastAsia="Arial" w:hAnsi="Arial"/>
          <w:b/>
          <w:bCs/>
          <w:color w:val="1B2A4A"/>
          <w:sz w:val="26"/>
          <w:szCs w:val="26"/>
        </w:rPr>
        <w:t xml:space="preserve">V. Correspondence to the Phase Configuration Manifold</w:t>
      </w:r>
    </w:p>
    <w:p>
      <w:pPr>
        <w:spacing w:after="200" w:line="276"/>
        <w:jc w:val="both"/>
      </w:pPr>
      <w:r>
        <w:rPr>
          <w:rFonts w:ascii="Palatino Linotype" w:cs="Palatino Linotype" w:eastAsia="Palatino Linotype" w:hAnsi="Palatino Linotype"/>
          <w:sz w:val="22"/>
          <w:szCs w:val="22"/>
        </w:rPr>
        <w:t xml:space="preserve">The proposed correspondence identifies ψ(r,t) = √n·e^{iθ} directly with the phaset’s coordinates: n with coherence amplitude, and the winding number of θ around a vortex core, or the discrete population imbalance in a double-well junction, with the topological-sector coordinate. Because both θ and n can be independently prepared (via phase imprinting and controlled loading, respectively) and independently read out (via interferometry and absorption imaging, respectively), this candidate offers the series’ only opportunity to test a phaset correspondence with full experimental control over the initial condition, rather than relying on the system’s spontaneous or stochastic dynamics to populate the relevant states.</w:t>
      </w:r>
    </w:p>
    <w:p>
      <w:pPr>
        <w:pStyle w:val="Heading1"/>
        <w:pBdr>
          <w:bottom w:val="single" w:color="B8922B" w:sz="6" w:space="4"/>
        </w:pBdr>
        <w:spacing w:after="200" w:before="400"/>
      </w:pPr>
      <w:r>
        <w:rPr>
          <w:rFonts w:ascii="Arial" w:cs="Arial" w:eastAsia="Arial" w:hAnsi="Arial"/>
          <w:b/>
          <w:bCs/>
          <w:color w:val="1B2A4A"/>
          <w:sz w:val="26"/>
          <w:szCs w:val="26"/>
        </w:rPr>
        <w:t xml:space="preserve">VI. Falsifiable Predictions</w:t>
      </w:r>
    </w:p>
    <w:p>
      <w:pPr>
        <w:pStyle w:val="Heading2"/>
        <w:spacing w:after="140" w:before="260"/>
      </w:pPr>
      <w:r>
        <w:rPr>
          <w:rFonts w:ascii="Arial" w:cs="Arial" w:eastAsia="Arial" w:hAnsi="Arial"/>
          <w:b/>
          <w:bCs/>
          <w:color w:val="1B2A4A"/>
          <w:sz w:val="22"/>
          <w:szCs w:val="22"/>
        </w:rPr>
        <w:t xml:space="preserve">Prediction 1 — Sub-Poissonian vortex–antivortex pair-nucleation statistics</w:t>
      </w:r>
    </w:p>
    <w:p>
      <w:pPr>
        <w:spacing w:after="200" w:line="276"/>
        <w:jc w:val="both"/>
      </w:pPr>
      <w:r>
        <w:rPr>
          <w:rFonts w:ascii="Palatino Linotype" w:cs="Palatino Linotype" w:eastAsia="Palatino Linotype" w:hAnsi="Palatino Linotype"/>
          <w:sz w:val="22"/>
          <w:szCs w:val="22"/>
        </w:rPr>
        <w:t xml:space="preserve">Standard Bogoliubov fluctuation theory predicts that the timing of snake-instability onset, across repeated preparations of a phase-imprinted dark soliton with identical trap and imprint parameters, is set by the amplification of quantum and thermal fluctuations seeded stochastically at each run — approximately independent (Poissonian in trigger timing) from run to run, once the deterministic linear growth rate is accounted for. The phaset correspondence predicts a measurable sub-Poissonian departure — a suppressed variance in snake-instability onset time across repeated identical preparations — if the topological-sector coordinate carries a correlation linking the soliton’s decay to the specific phase-imprint history rather than only to fluctuation amplification.</w:t>
      </w:r>
    </w:p>
    <w:p>
      <w:pPr>
        <w:pStyle w:val="Heading2"/>
        <w:spacing w:after="140" w:before="260"/>
      </w:pPr>
      <w:r>
        <w:rPr>
          <w:rFonts w:ascii="Arial" w:cs="Arial" w:eastAsia="Arial" w:hAnsi="Arial"/>
          <w:b/>
          <w:bCs/>
          <w:color w:val="1B2A4A"/>
          <w:sz w:val="22"/>
          <w:szCs w:val="22"/>
        </w:rPr>
        <w:t xml:space="preserve">Prediction 2 — Discretized bosonic Josephson oscillation periods at specific atom-number-difference sectors</w:t>
      </w:r>
    </w:p>
    <w:p>
      <w:pPr>
        <w:spacing w:after="200" w:line="276"/>
        <w:jc w:val="both"/>
      </w:pPr>
      <w:r>
        <w:rPr>
          <w:rFonts w:ascii="Palatino Linotype" w:cs="Palatino Linotype" w:eastAsia="Palatino Linotype" w:hAnsi="Palatino Linotype"/>
          <w:sz w:val="22"/>
          <w:szCs w:val="22"/>
        </w:rPr>
        <w:t xml:space="preserve">The standard two-mode model predicts Josephson oscillation period and self-trapping threshold as smooth, continuous functions of the interaction-to-tunneling ratio Λ and the initial population imbalance. Because atom number is discrete and individually countable, the phaset correspondence predicts that oscillation periods measured at specific, small integer population-imbalance values should show discrete deviations from the smooth two-mode prediction, clustering at imbalances corresponding to topological-sector boundaries, rather than varying continuously with Λ as the standard model predicts.</w:t>
      </w:r>
    </w:p>
    <w:p>
      <w:pPr>
        <w:spacing w:after="200" w:line="276"/>
        <w:jc w:val="both"/>
      </w:pPr>
      <w:r>
        <w:rPr>
          <w:rFonts w:ascii="Palatino Linotype" w:cs="Palatino Linotype" w:eastAsia="Palatino Linotype" w:hAnsi="Palatino Linotype"/>
          <w:sz w:val="22"/>
          <w:szCs w:val="22"/>
        </w:rPr>
        <w:t xml:space="preserve">A null result on both — Poissonian snake-instability timing statistics, and a smooth, two-mode-consistent Josephson oscillation period at all tested atom-number imbalances — would indicate that, notwithstanding the unusual degree of experimental control this candidate offers, the phaset formalism’s topological-sector structure is not adding measurable content beyond the standard Gross–Pitaevskii and two-mode treatments.</w:t>
      </w:r>
    </w:p>
    <w:p>
      <w:pPr>
        <w:pStyle w:val="Heading1"/>
        <w:pBdr>
          <w:bottom w:val="single" w:color="B8922B" w:sz="6" w:space="4"/>
        </w:pBdr>
        <w:spacing w:after="200" w:before="400"/>
      </w:pPr>
      <w:r>
        <w:rPr>
          <w:rFonts w:ascii="Arial" w:cs="Arial" w:eastAsia="Arial" w:hAnsi="Arial"/>
          <w:b/>
          <w:bCs/>
          <w:color w:val="1B2A4A"/>
          <w:sz w:val="26"/>
          <w:szCs w:val="26"/>
        </w:rPr>
        <w:t xml:space="preserve">VII. Experimental Protocol</w:t>
      </w:r>
    </w:p>
    <w:p>
      <w:pPr>
        <w:pStyle w:val="ListParagraph"/>
        <w:numPr>
          <w:ilvl w:val="0"/>
          <w:numId w:val="2"/>
        </w:numPr>
        <w:spacing w:after="120"/>
      </w:pPr>
      <w:r>
        <w:rPr>
          <w:rFonts w:ascii="Palatino Linotype" w:cs="Palatino Linotype" w:eastAsia="Palatino Linotype" w:hAnsi="Palatino Linotype"/>
          <w:sz w:val="22"/>
          <w:szCs w:val="22"/>
        </w:rPr>
        <w:t xml:space="preserve">Platform: a ⁸⁷Rb or ²³Na BEC in a magnetic or optical trap, following standard cold-atom preparation, with Feshbach-tunable interaction strength where available.</w:t>
      </w:r>
    </w:p>
    <w:p>
      <w:pPr>
        <w:pStyle w:val="ListParagraph"/>
        <w:numPr>
          <w:ilvl w:val="0"/>
          <w:numId w:val="2"/>
        </w:numPr>
        <w:spacing w:after="120"/>
      </w:pPr>
      <w:r>
        <w:rPr>
          <w:rFonts w:ascii="Palatino Linotype" w:cs="Palatino Linotype" w:eastAsia="Palatino Linotype" w:hAnsi="Palatino Linotype"/>
          <w:sz w:val="22"/>
          <w:szCs w:val="22"/>
        </w:rPr>
        <w:t xml:space="preserve">Soliton preparation: phase imprinting via a controlled off-resonant laser pulse across half the condensate in a quasi-2D or 3D trap geometry chosen to trigger the snake instability, with imprint parameters held fixed across repeated runs.</w:t>
      </w:r>
    </w:p>
    <w:p>
      <w:pPr>
        <w:pStyle w:val="ListParagraph"/>
        <w:numPr>
          <w:ilvl w:val="0"/>
          <w:numId w:val="2"/>
        </w:numPr>
        <w:spacing w:after="120"/>
      </w:pPr>
      <w:r>
        <w:rPr>
          <w:rFonts w:ascii="Palatino Linotype" w:cs="Palatino Linotype" w:eastAsia="Palatino Linotype" w:hAnsi="Palatino Linotype"/>
          <w:sz w:val="22"/>
          <w:szCs w:val="22"/>
        </w:rPr>
        <w:t xml:space="preserve">Instability timing: absorption imaging at a series of controlled delay times after the imprint pulse, across many repeated identical preparations, to build a distribution of snake-instability onset times for Fano-factor analysis against the Poissonian null.</w:t>
      </w:r>
    </w:p>
    <w:p>
      <w:pPr>
        <w:pStyle w:val="ListParagraph"/>
        <w:numPr>
          <w:ilvl w:val="0"/>
          <w:numId w:val="2"/>
        </w:numPr>
        <w:spacing w:after="120"/>
      </w:pPr>
      <w:r>
        <w:rPr>
          <w:rFonts w:ascii="Palatino Linotype" w:cs="Palatino Linotype" w:eastAsia="Palatino Linotype" w:hAnsi="Palatino Linotype"/>
          <w:sz w:val="22"/>
          <w:szCs w:val="22"/>
        </w:rPr>
        <w:t xml:space="preserve">Vortex counting: standard time-of-flight absorption imaging to directly count and locate the resulting vortex–antivortex pairs, confirming topological-charge conservation (equal numbers of each sign) as a consistency check on the imaging and analysis pipeline.</w:t>
      </w:r>
    </w:p>
    <w:p>
      <w:pPr>
        <w:pStyle w:val="ListParagraph"/>
        <w:numPr>
          <w:ilvl w:val="0"/>
          <w:numId w:val="2"/>
        </w:numPr>
        <w:spacing w:after="120"/>
      </w:pPr>
      <w:r>
        <w:rPr>
          <w:rFonts w:ascii="Palatino Linotype" w:cs="Palatino Linotype" w:eastAsia="Palatino Linotype" w:hAnsi="Palatino Linotype"/>
          <w:sz w:val="22"/>
          <w:szCs w:val="22"/>
        </w:rPr>
        <w:t xml:space="preserve">Bosonic Josephson measurement: a double-well trap formed by an optical or magnetic barrier, with controlled initial population imbalance set by asymmetric loading, and time-resolved absorption imaging of the population difference to extract oscillation period as a function of Λ and imbalance, at finely spaced small-integer imbalance values to search for discrete deviations from the two-mode prediction.</w:t>
      </w:r>
    </w:p>
    <w:p>
      <w:pPr>
        <w:pStyle w:val="ListParagraph"/>
        <w:numPr>
          <w:ilvl w:val="0"/>
          <w:numId w:val="2"/>
        </w:numPr>
        <w:spacing w:after="120"/>
      </w:pPr>
      <w:r>
        <w:rPr>
          <w:rFonts w:ascii="Palatino Linotype" w:cs="Palatino Linotype" w:eastAsia="Palatino Linotype" w:hAnsi="Palatino Linotype"/>
          <w:sz w:val="22"/>
          <w:szCs w:val="22"/>
        </w:rPr>
        <w:t xml:space="preserve">Phase cross-check: matter-wave interferometry between the two wells at selected points in the oscillation cycle, to directly confirm the relative phase evolution independently of the population-imbalance measurement.</w:t>
      </w:r>
    </w:p>
    <w:p>
      <w:pPr>
        <w:pStyle w:val="ListParagraph"/>
        <w:numPr>
          <w:ilvl w:val="0"/>
          <w:numId w:val="2"/>
        </w:numPr>
        <w:spacing w:after="120"/>
      </w:pPr>
      <w:r>
        <w:rPr>
          <w:rFonts w:ascii="Palatino Linotype" w:cs="Palatino Linotype" w:eastAsia="Palatino Linotype" w:hAnsi="Palatino Linotype"/>
          <w:sz w:val="22"/>
          <w:szCs w:val="22"/>
        </w:rPr>
        <w:t xml:space="preserve">Control: repetition of both protocols with deliberately randomized imprint or loading parameters between runs, to confirm that any observed sub-Poissonian clustering or discrete oscillation-period structure is tied to the specific, controlled preparation rather than an artifact of the imaging or trap system.</w:t>
      </w:r>
    </w:p>
    <w:p>
      <w:pPr>
        <w:pStyle w:val="Heading1"/>
        <w:pBdr>
          <w:bottom w:val="single" w:color="B8922B" w:sz="6" w:space="4"/>
        </w:pBdr>
        <w:spacing w:after="200" w:before="400"/>
      </w:pPr>
      <w:r>
        <w:rPr>
          <w:rFonts w:ascii="Arial" w:cs="Arial" w:eastAsia="Arial" w:hAnsi="Arial"/>
          <w:b/>
          <w:bCs/>
          <w:color w:val="1B2A4A"/>
          <w:sz w:val="26"/>
          <w:szCs w:val="26"/>
        </w:rPr>
        <w:t xml:space="preserve">VIII. Relation to the Phase DiVincenzo Criteria</w:t>
      </w:r>
    </w:p>
    <w:p>
      <w:pPr>
        <w:spacing w:after="200" w:line="276"/>
        <w:jc w:val="both"/>
      </w:pPr>
      <w:r>
        <w:rPr>
          <w:rFonts w:ascii="Palatino Linotype" w:cs="Palatino Linotype" w:eastAsia="Palatino Linotype" w:hAnsi="Palatino Linotype"/>
          <w:sz w:val="22"/>
          <w:szCs w:val="22"/>
        </w:rPr>
        <w:t xml:space="preserve">Cold-atom BECs are the strongest candidate in this series against the PDC criteria concerned with controlled initialization and controlled coupling: phase imprinting provides arbitrary, externally set initial conditions on the phase coordinate, and the double-well bosonic Josephson junction provides a directly demonstrated, controllable coupling between two macroscopic condensate phasets, with both population and relative phase independently measurable. This is the coherent-coupling capability the CDW (PM-3) and helium (PM-5) candidates were noted to lack. The criterion this candidate is comparatively weaker on is long-timescale coherence preservation outside carefully isolated trap conditions — BECs are more sensitive to trap loss, three-body recombination, and technical heating than solid-state platforms over extended runs — which bears on the practicality, though not the in-principle validity, of extended PDC-6-style protocols.</w:t>
      </w:r>
    </w:p>
    <w:p>
      <w:pPr>
        <w:pStyle w:val="Heading1"/>
        <w:pBdr>
          <w:bottom w:val="single" w:color="B8922B" w:sz="6" w:space="4"/>
        </w:pBdr>
        <w:spacing w:after="200" w:before="400"/>
      </w:pPr>
      <w:r>
        <w:rPr>
          <w:rFonts w:ascii="Arial" w:cs="Arial" w:eastAsia="Arial" w:hAnsi="Arial"/>
          <w:b/>
          <w:bCs/>
          <w:color w:val="1B2A4A"/>
          <w:sz w:val="26"/>
          <w:szCs w:val="26"/>
        </w:rPr>
        <w:t xml:space="preserve">IX. Limitations and Falsification Conditions</w:t>
      </w:r>
    </w:p>
    <w:p>
      <w:pPr>
        <w:spacing w:after="200" w:line="276"/>
        <w:jc w:val="both"/>
      </w:pPr>
      <w:r>
        <w:rPr>
          <w:rFonts w:ascii="Palatino Linotype" w:cs="Palatino Linotype" w:eastAsia="Palatino Linotype" w:hAnsi="Palatino Linotype"/>
          <w:sz w:val="22"/>
          <w:szCs w:val="22"/>
        </w:rPr>
        <w:t xml:space="preserve">This note’s correspondence carries no implication for any other candidate addressed in this series. It is falsified on its own terms if the snake-instability onset-time distribution in Prediction 1 is consistent with a Poissonian process across repeated identical preparations, and if the bosonic Josephson oscillation period in Prediction 2 matches the smooth two-mode prediction at all tested small-integer atom-number imbalances with no resolvable discrete structure. Because both the Bogoliubov fluctuation theory and the two-mode Josephson model are independently well-verified against this same experimental platform, a null result here — obtained under conditions of unusually complete experimental control over initial phase and population — would be difficult to attribute to inadequate preparation or measurement, and would weigh accordingly against the phaset formalism’s topological-sector structure carrying independent physical content.</w:t>
      </w:r>
    </w:p>
    <w:p>
      <w:pPr>
        <w:pStyle w:val="Heading1"/>
        <w:pBdr>
          <w:bottom w:val="single" w:color="B8922B" w:sz="6" w:space="4"/>
        </w:pBdr>
        <w:spacing w:after="200" w:before="400"/>
      </w:pPr>
      <w:r>
        <w:rPr>
          <w:rFonts w:ascii="Arial" w:cs="Arial" w:eastAsia="Arial" w:hAnsi="Arial"/>
          <w:b/>
          <w:bCs/>
          <w:color w:val="1B2A4A"/>
          <w:sz w:val="26"/>
          <w:szCs w:val="26"/>
        </w:rPr>
        <w:t xml:space="preserve">X. Conclusion</w:t>
      </w:r>
    </w:p>
    <w:p>
      <w:pPr>
        <w:spacing w:after="200" w:line="276"/>
        <w:jc w:val="both"/>
      </w:pPr>
      <w:r>
        <w:rPr>
          <w:rFonts w:ascii="Palatino Linotype" w:cs="Palatino Linotype" w:eastAsia="Palatino Linotype" w:hAnsi="Palatino Linotype"/>
          <w:sz w:val="22"/>
          <w:szCs w:val="22"/>
        </w:rPr>
        <w:t xml:space="preserve">Cold-atom Bose–Einstein condensates are the only candidate in this series where the order-parameter phase can be externally imprinted on demand and directly read out via matter-wave interferometry, giving a degree of experimental control over the phaset correspondence’s initial conditions unavailable in the plasma, CDW, Josephson-junction, or superfluid-helium candidates. This note has proposed a correspondence to the Phase Mechanics phaset built on this control, specified two falsifiable predictions — sub-Poissonian snake-instability timing and discretized bosonic Josephson oscillation periods — and laid out a protocol using standard phase-imprinting, absorption-imaging, and interferometric techniques on existing cold-atom apparatus. Together with PM-2 through PM-5, this note completes the series’ survey of terrestrial candidates for a laboratory-accessible realization of the phase substrate.</w:t>
      </w:r>
    </w:p>
    <w:p>
      <w:r>
        <w:br w:type="page"/>
      </w:r>
    </w:p>
    <w:p>
      <w:pPr>
        <w:pStyle w:val="Heading2"/>
        <w:spacing w:after="140" w:before="260"/>
      </w:pPr>
      <w:r>
        <w:rPr>
          <w:rFonts w:ascii="Arial" w:cs="Arial" w:eastAsia="Arial" w:hAnsi="Arial"/>
          <w:b/>
          <w:bCs/>
          <w:color w:val="1B2A4A"/>
          <w:sz w:val="22"/>
          <w:szCs w:val="22"/>
        </w:rPr>
        <w:t xml:space="preserve">References</w:t>
      </w:r>
    </w:p>
    <w:p>
      <w:pPr>
        <w:spacing w:after="120"/>
        <w:ind w:left="360" w:hanging="360"/>
      </w:pPr>
      <w:r>
        <w:rPr>
          <w:rFonts w:ascii="Palatino Linotype" w:cs="Palatino Linotype" w:eastAsia="Palatino Linotype" w:hAnsi="Palatino Linotype"/>
          <w:b/>
          <w:bCs/>
          <w:sz w:val="22"/>
          <w:szCs w:val="22"/>
        </w:rPr>
        <w:t xml:space="preserve">[1] </w:t>
      </w:r>
      <w:r>
        <w:rPr>
          <w:rFonts w:ascii="Palatino Linotype" w:cs="Palatino Linotype" w:eastAsia="Palatino Linotype" w:hAnsi="Palatino Linotype"/>
          <w:sz w:val="22"/>
          <w:szCs w:val="22"/>
        </w:rPr>
        <w:t xml:space="preserve">Anderson, M. H. et al. “Observation of Bose–Einstein condensation in a dilute atomic vapor.” Science 269, 198 (1995).</w:t>
      </w:r>
    </w:p>
    <w:p>
      <w:pPr>
        <w:spacing w:after="120"/>
        <w:ind w:left="360" w:hanging="360"/>
      </w:pPr>
      <w:r>
        <w:rPr>
          <w:rFonts w:ascii="Palatino Linotype" w:cs="Palatino Linotype" w:eastAsia="Palatino Linotype" w:hAnsi="Palatino Linotype"/>
          <w:b/>
          <w:bCs/>
          <w:sz w:val="22"/>
          <w:szCs w:val="22"/>
        </w:rPr>
        <w:t xml:space="preserve">[2] </w:t>
      </w:r>
      <w:r>
        <w:rPr>
          <w:rFonts w:ascii="Palatino Linotype" w:cs="Palatino Linotype" w:eastAsia="Palatino Linotype" w:hAnsi="Palatino Linotype"/>
          <w:sz w:val="22"/>
          <w:szCs w:val="22"/>
        </w:rPr>
        <w:t xml:space="preserve">Davis, K. B. et al. “Bose–Einstein condensation in a gas of sodium atoms.” Physical Review Letters 75, 3969 (1995).</w:t>
      </w:r>
    </w:p>
    <w:p>
      <w:pPr>
        <w:spacing w:after="120"/>
        <w:ind w:left="360" w:hanging="360"/>
      </w:pPr>
      <w:r>
        <w:rPr>
          <w:rFonts w:ascii="Palatino Linotype" w:cs="Palatino Linotype" w:eastAsia="Palatino Linotype" w:hAnsi="Palatino Linotype"/>
          <w:b/>
          <w:bCs/>
          <w:sz w:val="22"/>
          <w:szCs w:val="22"/>
        </w:rPr>
        <w:t xml:space="preserve">[3] </w:t>
      </w:r>
      <w:r>
        <w:rPr>
          <w:rFonts w:ascii="Palatino Linotype" w:cs="Palatino Linotype" w:eastAsia="Palatino Linotype" w:hAnsi="Palatino Linotype"/>
          <w:sz w:val="22"/>
          <w:szCs w:val="22"/>
        </w:rPr>
        <w:t xml:space="preserve">Andrews, M. R. et al. “Observation of interference between two Bose condensates.” Science 275, 637 (1997).</w:t>
      </w:r>
    </w:p>
    <w:p>
      <w:pPr>
        <w:spacing w:after="120"/>
        <w:ind w:left="360" w:hanging="360"/>
      </w:pPr>
      <w:r>
        <w:rPr>
          <w:rFonts w:ascii="Palatino Linotype" w:cs="Palatino Linotype" w:eastAsia="Palatino Linotype" w:hAnsi="Palatino Linotype"/>
          <w:b/>
          <w:bCs/>
          <w:sz w:val="22"/>
          <w:szCs w:val="22"/>
        </w:rPr>
        <w:t xml:space="preserve">[4] </w:t>
      </w:r>
      <w:r>
        <w:rPr>
          <w:rFonts w:ascii="Palatino Linotype" w:cs="Palatino Linotype" w:eastAsia="Palatino Linotype" w:hAnsi="Palatino Linotype"/>
          <w:sz w:val="22"/>
          <w:szCs w:val="22"/>
        </w:rPr>
        <w:t xml:space="preserve">Dutton, Z., Budde, M., Slowe, C., and Hau, L. V. “Observation of quantum shock waves created with ultra-compressed slow light pulses in a Bose–Einstein condensate.” Science 293, 663 (2001).</w:t>
      </w:r>
    </w:p>
    <w:p>
      <w:pPr>
        <w:spacing w:after="120"/>
        <w:ind w:left="360" w:hanging="360"/>
      </w:pPr>
      <w:r>
        <w:rPr>
          <w:rFonts w:ascii="Palatino Linotype" w:cs="Palatino Linotype" w:eastAsia="Palatino Linotype" w:hAnsi="Palatino Linotype"/>
          <w:b/>
          <w:bCs/>
          <w:sz w:val="22"/>
          <w:szCs w:val="22"/>
        </w:rPr>
        <w:t xml:space="preserve">[5] </w:t>
      </w:r>
      <w:r>
        <w:rPr>
          <w:rFonts w:ascii="Palatino Linotype" w:cs="Palatino Linotype" w:eastAsia="Palatino Linotype" w:hAnsi="Palatino Linotype"/>
          <w:sz w:val="22"/>
          <w:szCs w:val="22"/>
        </w:rPr>
        <w:t xml:space="preserve">Anderson, B. P. et al. “Watching dark solitons decay into vortex rings in a Bose–Einstein condensate.” Physical Review Letters 86, 2926 (2001).</w:t>
      </w:r>
    </w:p>
    <w:p>
      <w:pPr>
        <w:spacing w:after="120"/>
        <w:ind w:left="360" w:hanging="360"/>
      </w:pPr>
      <w:r>
        <w:rPr>
          <w:rFonts w:ascii="Palatino Linotype" w:cs="Palatino Linotype" w:eastAsia="Palatino Linotype" w:hAnsi="Palatino Linotype"/>
          <w:b/>
          <w:bCs/>
          <w:sz w:val="22"/>
          <w:szCs w:val="22"/>
        </w:rPr>
        <w:t xml:space="preserve">[6] </w:t>
      </w:r>
      <w:r>
        <w:rPr>
          <w:rFonts w:ascii="Palatino Linotype" w:cs="Palatino Linotype" w:eastAsia="Palatino Linotype" w:hAnsi="Palatino Linotype"/>
          <w:sz w:val="22"/>
          <w:szCs w:val="22"/>
        </w:rPr>
        <w:t xml:space="preserve">Madison, K. W., Chevy, F., Wohlleben, W., and Dalibard, J. “Vortex formation in a stirred Bose–Einstein condensate.” Physical Review Letters 84, 806 (2000).</w:t>
      </w:r>
    </w:p>
    <w:p>
      <w:pPr>
        <w:spacing w:after="120"/>
        <w:ind w:left="360" w:hanging="360"/>
      </w:pPr>
      <w:r>
        <w:rPr>
          <w:rFonts w:ascii="Palatino Linotype" w:cs="Palatino Linotype" w:eastAsia="Palatino Linotype" w:hAnsi="Palatino Linotype"/>
          <w:b/>
          <w:bCs/>
          <w:sz w:val="22"/>
          <w:szCs w:val="22"/>
        </w:rPr>
        <w:t xml:space="preserve">[7] </w:t>
      </w:r>
      <w:r>
        <w:rPr>
          <w:rFonts w:ascii="Palatino Linotype" w:cs="Palatino Linotype" w:eastAsia="Palatino Linotype" w:hAnsi="Palatino Linotype"/>
          <w:sz w:val="22"/>
          <w:szCs w:val="22"/>
        </w:rPr>
        <w:t xml:space="preserve">Albiez, M. et al. “Direct observation of tunneling and nonlinear self-trapping in a single bosonic Josephson junction.” Physical Review Letters 95, 010402 (2005).</w:t>
      </w:r>
    </w:p>
    <w:p>
      <w:pPr>
        <w:spacing w:after="120"/>
        <w:ind w:left="360" w:hanging="360"/>
      </w:pPr>
      <w:r>
        <w:rPr>
          <w:rFonts w:ascii="Palatino Linotype" w:cs="Palatino Linotype" w:eastAsia="Palatino Linotype" w:hAnsi="Palatino Linotype"/>
          <w:b/>
          <w:bCs/>
          <w:sz w:val="22"/>
          <w:szCs w:val="22"/>
        </w:rPr>
        <w:t xml:space="preserve">[8] </w:t>
      </w:r>
      <w:r>
        <w:rPr>
          <w:rFonts w:ascii="Palatino Linotype" w:cs="Palatino Linotype" w:eastAsia="Palatino Linotype" w:hAnsi="Palatino Linotype"/>
          <w:sz w:val="22"/>
          <w:szCs w:val="22"/>
        </w:rPr>
        <w:t xml:space="preserve">Levy, S., Lahoud, E., Shomroni, I., and Steinhauer, J. “The a.c. and d.c. Josephson effects in a Bose–Einstein condensate.” Nature 449, 579 (2007).</w:t>
      </w:r>
    </w:p>
    <w:p>
      <w:pPr>
        <w:spacing w:after="120"/>
        <w:ind w:left="360" w:hanging="360"/>
      </w:pPr>
      <w:r>
        <w:rPr>
          <w:rFonts w:ascii="Palatino Linotype" w:cs="Palatino Linotype" w:eastAsia="Palatino Linotype" w:hAnsi="Palatino Linotype"/>
          <w:b/>
          <w:bCs/>
          <w:sz w:val="22"/>
          <w:szCs w:val="22"/>
        </w:rPr>
        <w:t xml:space="preserve">[9] </w:t>
      </w:r>
      <w:r>
        <w:rPr>
          <w:rFonts w:ascii="Palatino Linotype" w:cs="Palatino Linotype" w:eastAsia="Palatino Linotype" w:hAnsi="Palatino Linotype"/>
          <w:sz w:val="22"/>
          <w:szCs w:val="22"/>
        </w:rPr>
        <w:t xml:space="preserve">Phase Mechanics core papers PM-DECL-001 and PM-1 (Dust LLC, 2026); Phase Engineering foundational paper PE-0 (Dust LLC, 2026); Deployment Notes PM-2, PM-3, PM-4, and PM-5 (Dust LLC,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PM-6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22B" w:sz="4" w:space="4"/>
      </w:pBdr>
      <w:tabs>
        <w:tab w:val="right" w:pos="11340"/>
      </w:tabs>
    </w:pPr>
    <w:r>
      <w:rPr>
        <w:rFonts w:ascii="Arial" w:cs="Arial" w:eastAsia="Arial" w:hAnsi="Arial"/>
        <w:b/>
        <w:bCs/>
        <w:color w:val="1B2A4A"/>
        <w:sz w:val="16"/>
        <w:szCs w:val="16"/>
      </w:rPr>
      <w:t xml:space="preserve">DUST LLC</w:t>
    </w:r>
    <w:r>
      <w:rPr>
        <w:rFonts w:ascii="Arial" w:cs="Arial" w:eastAsia="Arial" w:hAnsi="Arial"/>
        <w:color w:val="666666"/>
        <w:sz w:val="16"/>
        <w:szCs w:val="16"/>
      </w:rPr>
      <w:t xml:space="preserve">	Phase Mechanics — Deployment Note PM-6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2026-07-31T05:26:03.733Z</dcterms:created>
  <dcterms:modified xsi:type="dcterms:W3CDTF">2026-07-31T05:26:03.750Z</dcterms:modified>
</cp:coreProperties>
</file>

<file path=docProps/custom.xml><?xml version="1.0" encoding="utf-8"?>
<Properties xmlns="http://schemas.openxmlformats.org/officeDocument/2006/custom-properties" xmlns:vt="http://schemas.openxmlformats.org/officeDocument/2006/docPropsVTypes"/>
</file>